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C7A6" w14:textId="77777777" w:rsidR="00BD6A10" w:rsidRPr="005C555E" w:rsidRDefault="00BD6A10" w:rsidP="00BD6A10">
      <w:pPr>
        <w:spacing w:after="0" w:line="240" w:lineRule="auto"/>
        <w:ind w:right="4"/>
        <w:jc w:val="center"/>
        <w:rPr>
          <w:rFonts w:ascii="Cambria" w:hAnsi="Cambria"/>
          <w:color w:val="000000" w:themeColor="text1"/>
          <w:lang w:val="es-US"/>
        </w:rPr>
      </w:pPr>
      <w:r w:rsidRPr="005C555E">
        <w:rPr>
          <w:rFonts w:ascii="Cambria" w:hAnsi="Cambria"/>
          <w:b/>
          <w:color w:val="000000" w:themeColor="text1"/>
          <w:lang w:val="es-US"/>
        </w:rPr>
        <w:t>FICHA TÉCNICA INFORMATIVA</w:t>
      </w:r>
    </w:p>
    <w:p w14:paraId="5B53F885" w14:textId="0DFCF100" w:rsidR="0076772B" w:rsidRPr="005C555E" w:rsidRDefault="0076772B" w:rsidP="0076772B">
      <w:pPr>
        <w:spacing w:after="0" w:line="240" w:lineRule="auto"/>
        <w:ind w:right="4"/>
        <w:jc w:val="center"/>
        <w:rPr>
          <w:rFonts w:ascii="Cambria" w:eastAsia="MS Mincho" w:hAnsi="Cambria" w:cs="Arial"/>
          <w:b/>
          <w:color w:val="000000" w:themeColor="text1"/>
          <w:lang w:val="es-CO" w:eastAsia="ja-JP"/>
        </w:rPr>
      </w:pPr>
      <w:r w:rsidRPr="00C97568">
        <w:rPr>
          <w:rFonts w:ascii="Cambria" w:eastAsia="MS Mincho" w:hAnsi="Cambria" w:cs="Arial"/>
          <w:b/>
          <w:color w:val="000000" w:themeColor="text1"/>
          <w:lang w:val="es-CO" w:eastAsia="ja-JP"/>
        </w:rPr>
        <w:t>CASO 12.699 PEDRO ANTONIO CENTURIÓN</w:t>
      </w:r>
    </w:p>
    <w:p w14:paraId="59EC4B15" w14:textId="0C7F90FB" w:rsidR="00BD6A10" w:rsidRPr="005C555E" w:rsidRDefault="00BD6A10" w:rsidP="00BD6A10">
      <w:pPr>
        <w:spacing w:after="0" w:line="240" w:lineRule="auto"/>
        <w:ind w:right="4"/>
        <w:jc w:val="center"/>
        <w:rPr>
          <w:rFonts w:ascii="Cambria" w:eastAsia="Batang" w:hAnsi="Cambria"/>
          <w:b/>
          <w:color w:val="000000" w:themeColor="text1"/>
          <w:lang w:val="es-CO" w:eastAsia="es-ES_tradnl"/>
        </w:rPr>
      </w:pPr>
      <w:r w:rsidRPr="005C555E">
        <w:rPr>
          <w:rFonts w:ascii="Cambria" w:eastAsia="Batang" w:hAnsi="Cambria"/>
          <w:b/>
          <w:color w:val="000000" w:themeColor="text1"/>
          <w:lang w:val="es-CO"/>
        </w:rPr>
        <w:t>INFORME DE SOLUCIÓN AMISTOS</w:t>
      </w:r>
      <w:r w:rsidRPr="00C97568">
        <w:rPr>
          <w:rFonts w:ascii="Cambria" w:eastAsia="Batang" w:hAnsi="Cambria"/>
          <w:b/>
          <w:color w:val="000000" w:themeColor="text1"/>
          <w:lang w:val="es-CO"/>
        </w:rPr>
        <w:t>A No.</w:t>
      </w:r>
      <w:r w:rsidR="000B7CE6" w:rsidRPr="005C555E">
        <w:rPr>
          <w:rFonts w:ascii="Cambria" w:eastAsia="Batang" w:hAnsi="Cambria"/>
          <w:b/>
          <w:color w:val="000000" w:themeColor="text1"/>
          <w:lang w:val="es-CO"/>
        </w:rPr>
        <w:t xml:space="preserve"> </w:t>
      </w:r>
      <w:hyperlink r:id="rId12" w:history="1">
        <w:r w:rsidR="00D143E4" w:rsidRPr="00C97568">
          <w:rPr>
            <w:rStyle w:val="Hyperlink"/>
            <w:rFonts w:ascii="Cambria" w:hAnsi="Cambria"/>
            <w:b/>
          </w:rPr>
          <w:t>130/18</w:t>
        </w:r>
      </w:hyperlink>
    </w:p>
    <w:p w14:paraId="5909406A" w14:textId="77777777" w:rsidR="00BD6A10" w:rsidRPr="005C555E" w:rsidRDefault="00BD6A10" w:rsidP="00BD6A10">
      <w:pPr>
        <w:spacing w:after="0" w:line="240" w:lineRule="auto"/>
        <w:ind w:right="4"/>
        <w:jc w:val="center"/>
        <w:rPr>
          <w:rFonts w:ascii="Cambria" w:eastAsia="Batang" w:hAnsi="Cambria"/>
          <w:b/>
          <w:color w:val="000000" w:themeColor="text1"/>
          <w:lang w:val="es-CO"/>
        </w:rPr>
      </w:pPr>
      <w:r w:rsidRPr="005C555E">
        <w:rPr>
          <w:rFonts w:ascii="Cambria" w:eastAsia="Batang" w:hAnsi="Cambria"/>
          <w:b/>
          <w:color w:val="000000" w:themeColor="text1"/>
          <w:lang w:val="es-CO"/>
        </w:rPr>
        <w:t>CUMPLIMIENTO TOTAL</w:t>
      </w:r>
    </w:p>
    <w:p w14:paraId="52F90FE7" w14:textId="74742FE5" w:rsidR="00BD6A10" w:rsidRPr="00D143E4" w:rsidRDefault="00BD6A10" w:rsidP="00BD6A10">
      <w:pPr>
        <w:spacing w:after="0" w:line="240" w:lineRule="auto"/>
        <w:ind w:right="4"/>
        <w:jc w:val="center"/>
        <w:rPr>
          <w:rFonts w:ascii="Cambria" w:eastAsia="Batang" w:hAnsi="Cambria"/>
          <w:b/>
          <w:color w:val="000000" w:themeColor="text1"/>
          <w:lang w:val="es-CO"/>
        </w:rPr>
      </w:pPr>
      <w:r w:rsidRPr="00C97568">
        <w:rPr>
          <w:rFonts w:ascii="Cambria" w:eastAsia="Batang" w:hAnsi="Cambria"/>
          <w:b/>
          <w:color w:val="000000" w:themeColor="text1"/>
          <w:lang w:val="es-CO"/>
        </w:rPr>
        <w:t>(</w:t>
      </w:r>
      <w:r w:rsidR="00D143E4" w:rsidRPr="00C97568">
        <w:rPr>
          <w:rFonts w:ascii="Cambria" w:eastAsia="Batang" w:hAnsi="Cambria"/>
          <w:b/>
          <w:color w:val="000000" w:themeColor="text1"/>
          <w:lang w:val="es-CO"/>
        </w:rPr>
        <w:t>PARAGUAY</w:t>
      </w:r>
      <w:r w:rsidRPr="00C97568">
        <w:rPr>
          <w:rFonts w:ascii="Cambria" w:eastAsia="Batang" w:hAnsi="Cambria"/>
          <w:b/>
          <w:color w:val="000000" w:themeColor="text1"/>
          <w:lang w:val="es-CO"/>
        </w:rPr>
        <w:t>)</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C97568" w14:paraId="78B6CDC5" w14:textId="77777777" w:rsidTr="00F024F0">
        <w:trPr>
          <w:trHeight w:val="4517"/>
        </w:trPr>
        <w:tc>
          <w:tcPr>
            <w:tcW w:w="9377" w:type="dxa"/>
            <w:shd w:val="clear" w:color="auto" w:fill="F2F2F2"/>
          </w:tcPr>
          <w:p w14:paraId="1865A879" w14:textId="77777777" w:rsidR="00907397" w:rsidRPr="00C97568" w:rsidRDefault="00907397" w:rsidP="00907397">
            <w:pPr>
              <w:spacing w:after="0" w:line="240" w:lineRule="auto"/>
              <w:jc w:val="both"/>
              <w:rPr>
                <w:rFonts w:ascii="Cambria" w:hAnsi="Cambria"/>
                <w:color w:val="000000"/>
                <w:sz w:val="20"/>
                <w:szCs w:val="20"/>
                <w:lang w:val="es-CO"/>
              </w:rPr>
            </w:pPr>
            <w:r w:rsidRPr="00C97568">
              <w:rPr>
                <w:rFonts w:ascii="Cambria" w:hAnsi="Cambria"/>
                <w:b/>
                <w:color w:val="000000"/>
                <w:sz w:val="20"/>
                <w:szCs w:val="20"/>
                <w:lang w:val="es-CO"/>
              </w:rPr>
              <w:t>Víctima (s):</w:t>
            </w:r>
            <w:r w:rsidRPr="00C97568">
              <w:rPr>
                <w:rFonts w:ascii="Cambria" w:hAnsi="Cambria"/>
                <w:color w:val="000000"/>
                <w:sz w:val="20"/>
                <w:szCs w:val="20"/>
                <w:lang w:val="es-CO"/>
              </w:rPr>
              <w:t xml:space="preserve"> Pedro Antonio Centurión</w:t>
            </w:r>
          </w:p>
          <w:p w14:paraId="0EFCF6B0" w14:textId="77777777" w:rsidR="00907397" w:rsidRPr="00C97568" w:rsidRDefault="00907397" w:rsidP="00907397">
            <w:pPr>
              <w:spacing w:after="0" w:line="240" w:lineRule="auto"/>
              <w:jc w:val="both"/>
              <w:rPr>
                <w:rFonts w:ascii="Cambria" w:hAnsi="Cambria"/>
                <w:color w:val="000000"/>
                <w:sz w:val="20"/>
                <w:szCs w:val="20"/>
                <w:lang w:val="es-CO"/>
              </w:rPr>
            </w:pPr>
            <w:r w:rsidRPr="00C97568">
              <w:rPr>
                <w:rFonts w:ascii="Cambria" w:hAnsi="Cambria"/>
                <w:b/>
                <w:color w:val="000000"/>
                <w:sz w:val="20"/>
                <w:szCs w:val="20"/>
                <w:lang w:val="es-CO"/>
              </w:rPr>
              <w:t xml:space="preserve">Peticionario (s): </w:t>
            </w:r>
            <w:r w:rsidRPr="00C97568">
              <w:rPr>
                <w:rFonts w:ascii="Cambria" w:hAnsi="Cambria"/>
                <w:color w:val="000000"/>
                <w:sz w:val="20"/>
                <w:szCs w:val="20"/>
                <w:lang w:val="es-CO"/>
              </w:rPr>
              <w:t>Asociación de Familiares Víctimas del Servicio Militar (AFAVISEM).</w:t>
            </w:r>
          </w:p>
          <w:p w14:paraId="1990716A" w14:textId="77777777" w:rsidR="00907397" w:rsidRPr="00C97568" w:rsidRDefault="00907397" w:rsidP="00907397">
            <w:pPr>
              <w:spacing w:after="0" w:line="240" w:lineRule="auto"/>
              <w:jc w:val="both"/>
              <w:rPr>
                <w:rFonts w:ascii="Cambria" w:hAnsi="Cambria"/>
                <w:color w:val="000000"/>
                <w:sz w:val="20"/>
                <w:szCs w:val="20"/>
                <w:lang w:val="es-CO"/>
              </w:rPr>
            </w:pPr>
            <w:r w:rsidRPr="00C97568">
              <w:rPr>
                <w:rFonts w:ascii="Cambria" w:hAnsi="Cambria"/>
                <w:b/>
                <w:color w:val="000000"/>
                <w:sz w:val="20"/>
                <w:szCs w:val="20"/>
                <w:lang w:val="es-CO"/>
              </w:rPr>
              <w:t>Estado:</w:t>
            </w:r>
            <w:r w:rsidRPr="00C97568">
              <w:rPr>
                <w:rFonts w:ascii="Cambria" w:hAnsi="Cambria"/>
                <w:color w:val="000000"/>
                <w:sz w:val="20"/>
                <w:szCs w:val="20"/>
                <w:lang w:val="es-CO"/>
              </w:rPr>
              <w:t xml:space="preserve"> Paraguay</w:t>
            </w:r>
          </w:p>
          <w:p w14:paraId="555BC12E" w14:textId="77777777" w:rsidR="00907397" w:rsidRPr="00C97568" w:rsidRDefault="00907397" w:rsidP="00907397">
            <w:pPr>
              <w:tabs>
                <w:tab w:val="left" w:pos="9270"/>
              </w:tabs>
              <w:spacing w:after="0" w:line="240" w:lineRule="auto"/>
              <w:jc w:val="both"/>
              <w:rPr>
                <w:rFonts w:ascii="Cambria" w:hAnsi="Cambria"/>
                <w:bCs/>
                <w:color w:val="000000"/>
                <w:sz w:val="20"/>
                <w:szCs w:val="20"/>
                <w:lang w:val="es-CO"/>
              </w:rPr>
            </w:pPr>
            <w:r w:rsidRPr="00C97568">
              <w:rPr>
                <w:rFonts w:ascii="Cambria" w:hAnsi="Cambria"/>
                <w:b/>
                <w:bCs/>
                <w:color w:val="000000"/>
                <w:sz w:val="20"/>
                <w:szCs w:val="20"/>
                <w:lang w:val="es-CO"/>
              </w:rPr>
              <w:t xml:space="preserve">Fecha de inicio de las negociaciones: </w:t>
            </w:r>
            <w:r w:rsidRPr="00C97568">
              <w:rPr>
                <w:rFonts w:ascii="Cambria" w:hAnsi="Cambria"/>
                <w:bCs/>
                <w:color w:val="000000"/>
                <w:sz w:val="20"/>
                <w:szCs w:val="20"/>
                <w:lang w:val="es-CO"/>
              </w:rPr>
              <w:t>N/A</w:t>
            </w:r>
          </w:p>
          <w:p w14:paraId="3C0EDB1A" w14:textId="77777777" w:rsidR="00907397" w:rsidRPr="00C97568" w:rsidRDefault="00907397" w:rsidP="00907397">
            <w:pPr>
              <w:pStyle w:val="Cuadrculamedia21"/>
              <w:rPr>
                <w:rFonts w:ascii="Cambria" w:hAnsi="Cambria"/>
                <w:b/>
                <w:color w:val="000000"/>
                <w:sz w:val="20"/>
                <w:szCs w:val="20"/>
                <w:lang w:val="es-CO"/>
              </w:rPr>
            </w:pPr>
            <w:r w:rsidRPr="00C97568">
              <w:rPr>
                <w:rFonts w:ascii="Cambria" w:hAnsi="Cambria"/>
                <w:b/>
                <w:color w:val="000000"/>
                <w:sz w:val="20"/>
                <w:szCs w:val="20"/>
                <w:lang w:val="es-CO"/>
              </w:rPr>
              <w:t xml:space="preserve">Informe de Acuerdo de Solución Amistosa Nº: </w:t>
            </w:r>
            <w:hyperlink r:id="rId13" w:history="1">
              <w:r w:rsidRPr="00C97568">
                <w:rPr>
                  <w:rStyle w:val="Hyperlink"/>
                  <w:rFonts w:ascii="Cambria" w:hAnsi="Cambria"/>
                  <w:b/>
                  <w:bCs/>
                  <w:color w:val="000000" w:themeColor="text1"/>
                  <w:sz w:val="20"/>
                  <w:szCs w:val="20"/>
                  <w:lang w:val="es-CO"/>
                </w:rPr>
                <w:t>130/18</w:t>
              </w:r>
            </w:hyperlink>
            <w:r w:rsidRPr="00C97568">
              <w:rPr>
                <w:rFonts w:ascii="Cambria" w:hAnsi="Cambria"/>
                <w:b/>
                <w:color w:val="000000" w:themeColor="text1"/>
                <w:sz w:val="20"/>
                <w:szCs w:val="20"/>
                <w:lang w:val="es-CO"/>
              </w:rPr>
              <w:t xml:space="preserve">, </w:t>
            </w:r>
            <w:r w:rsidRPr="00C97568">
              <w:rPr>
                <w:rFonts w:ascii="Cambria" w:hAnsi="Cambria"/>
                <w:color w:val="000000"/>
                <w:sz w:val="20"/>
                <w:szCs w:val="20"/>
                <w:lang w:val="es-CO"/>
              </w:rPr>
              <w:t>publicado el 20 de noviembre de 2018</w:t>
            </w:r>
          </w:p>
          <w:p w14:paraId="20F842AC" w14:textId="77777777" w:rsidR="00907397" w:rsidRPr="00C97568" w:rsidRDefault="00907397" w:rsidP="00907397">
            <w:pPr>
              <w:spacing w:after="0" w:line="240" w:lineRule="auto"/>
              <w:jc w:val="both"/>
              <w:rPr>
                <w:rFonts w:ascii="Cambria" w:hAnsi="Cambria"/>
                <w:color w:val="000000"/>
                <w:sz w:val="20"/>
                <w:szCs w:val="20"/>
                <w:lang w:val="es-CO"/>
              </w:rPr>
            </w:pPr>
            <w:r w:rsidRPr="00C97568">
              <w:rPr>
                <w:rFonts w:ascii="Cambria" w:hAnsi="Cambria"/>
                <w:b/>
                <w:bCs/>
                <w:color w:val="000000"/>
                <w:sz w:val="20"/>
                <w:szCs w:val="20"/>
                <w:lang w:val="es-CO"/>
              </w:rPr>
              <w:t xml:space="preserve">Fecha de Firma de ASA: </w:t>
            </w:r>
            <w:r w:rsidRPr="00C97568">
              <w:rPr>
                <w:rFonts w:ascii="Cambria" w:hAnsi="Cambria"/>
                <w:bCs/>
                <w:color w:val="000000"/>
                <w:sz w:val="20"/>
                <w:szCs w:val="20"/>
                <w:lang w:val="es-CO"/>
              </w:rPr>
              <w:t>5 de agosto de 2011.</w:t>
            </w:r>
          </w:p>
          <w:p w14:paraId="6F228C3C" w14:textId="77777777" w:rsidR="00907397" w:rsidRPr="00C97568" w:rsidRDefault="00907397" w:rsidP="00907397">
            <w:pPr>
              <w:autoSpaceDE w:val="0"/>
              <w:autoSpaceDN w:val="0"/>
              <w:adjustRightInd w:val="0"/>
              <w:spacing w:after="0" w:line="240" w:lineRule="auto"/>
              <w:rPr>
                <w:rFonts w:ascii="Cambria" w:hAnsi="Cambria" w:cs="Cambria"/>
                <w:color w:val="000000"/>
                <w:sz w:val="20"/>
                <w:szCs w:val="20"/>
                <w:lang w:val="es-CO" w:eastAsia="pt-BR"/>
              </w:rPr>
            </w:pPr>
            <w:r w:rsidRPr="00C97568">
              <w:rPr>
                <w:rFonts w:ascii="Cambria" w:hAnsi="Cambria" w:cs="Cambria"/>
                <w:b/>
                <w:color w:val="000000"/>
                <w:sz w:val="20"/>
                <w:szCs w:val="20"/>
                <w:lang w:val="es-CO" w:eastAsia="pt-BR"/>
              </w:rPr>
              <w:t xml:space="preserve">Informe de Admisibilidad </w:t>
            </w:r>
            <w:r w:rsidRPr="00C97568">
              <w:rPr>
                <w:rFonts w:ascii="Cambria" w:hAnsi="Cambria"/>
                <w:b/>
                <w:color w:val="000000"/>
                <w:sz w:val="20"/>
                <w:szCs w:val="20"/>
                <w:lang w:val="es-CO"/>
              </w:rPr>
              <w:t>Nº</w:t>
            </w:r>
            <w:r w:rsidRPr="00C97568">
              <w:rPr>
                <w:rFonts w:ascii="Cambria" w:hAnsi="Cambria" w:cs="Cambria"/>
                <w:b/>
                <w:color w:val="000000"/>
                <w:sz w:val="20"/>
                <w:szCs w:val="20"/>
                <w:lang w:val="es-CO" w:eastAsia="pt-BR"/>
              </w:rPr>
              <w:t xml:space="preserve">.: </w:t>
            </w:r>
            <w:hyperlink r:id="rId14" w:history="1">
              <w:r w:rsidRPr="00C97568">
                <w:rPr>
                  <w:rFonts w:ascii="Cambria" w:hAnsi="Cambria" w:cs="Cambria"/>
                  <w:b/>
                  <w:color w:val="000000" w:themeColor="text1"/>
                  <w:sz w:val="20"/>
                  <w:szCs w:val="20"/>
                  <w:u w:val="single"/>
                  <w:lang w:val="es-CO" w:eastAsia="pt-BR"/>
                </w:rPr>
                <w:t>19/09</w:t>
              </w:r>
              <w:r w:rsidRPr="00C97568">
                <w:rPr>
                  <w:rFonts w:ascii="Cambria" w:hAnsi="Cambria" w:cs="Cambria"/>
                  <w:color w:val="000000" w:themeColor="text1"/>
                  <w:sz w:val="20"/>
                  <w:szCs w:val="20"/>
                  <w:u w:val="single"/>
                  <w:lang w:val="es-CO" w:eastAsia="pt-BR"/>
                </w:rPr>
                <w:t>,</w:t>
              </w:r>
            </w:hyperlink>
            <w:r w:rsidRPr="00C97568">
              <w:rPr>
                <w:rFonts w:ascii="Cambria" w:hAnsi="Cambria" w:cs="Cambria"/>
                <w:color w:val="000000" w:themeColor="text1"/>
                <w:sz w:val="20"/>
                <w:szCs w:val="20"/>
                <w:lang w:val="es-CO" w:eastAsia="pt-BR"/>
              </w:rPr>
              <w:t xml:space="preserve"> </w:t>
            </w:r>
            <w:r w:rsidRPr="00C97568">
              <w:rPr>
                <w:rFonts w:ascii="Cambria" w:hAnsi="Cambria" w:cs="Cambria"/>
                <w:color w:val="000000"/>
                <w:sz w:val="20"/>
                <w:szCs w:val="20"/>
                <w:lang w:val="es-CO" w:eastAsia="pt-BR"/>
              </w:rPr>
              <w:t>publicado el 19 de marzo de 2009</w:t>
            </w:r>
          </w:p>
          <w:p w14:paraId="1B6ACC24" w14:textId="77777777" w:rsidR="00907397" w:rsidRPr="00C97568" w:rsidRDefault="00907397" w:rsidP="00907397">
            <w:pPr>
              <w:spacing w:after="0" w:line="240" w:lineRule="auto"/>
              <w:jc w:val="both"/>
              <w:rPr>
                <w:rFonts w:ascii="Cambria" w:hAnsi="Cambria"/>
                <w:b/>
                <w:bCs/>
                <w:color w:val="000000"/>
                <w:sz w:val="20"/>
                <w:szCs w:val="20"/>
                <w:lang w:val="es-CO"/>
              </w:rPr>
            </w:pPr>
            <w:r w:rsidRPr="00C97568">
              <w:rPr>
                <w:rFonts w:ascii="Cambria" w:hAnsi="Cambria"/>
                <w:b/>
                <w:bCs/>
                <w:color w:val="000000"/>
                <w:sz w:val="20"/>
                <w:szCs w:val="20"/>
                <w:lang w:val="es-CO"/>
              </w:rPr>
              <w:t xml:space="preserve">Duración estimada de la fase de negociación: </w:t>
            </w:r>
            <w:r w:rsidRPr="00C97568">
              <w:rPr>
                <w:rFonts w:ascii="Cambria" w:hAnsi="Cambria"/>
                <w:bCs/>
                <w:color w:val="000000"/>
                <w:sz w:val="20"/>
                <w:szCs w:val="20"/>
                <w:lang w:val="es-CO"/>
              </w:rPr>
              <w:t>N/A</w:t>
            </w:r>
            <w:r w:rsidRPr="00C97568">
              <w:rPr>
                <w:rFonts w:ascii="Cambria" w:hAnsi="Cambria"/>
                <w:b/>
                <w:bCs/>
                <w:color w:val="000000"/>
                <w:sz w:val="20"/>
                <w:szCs w:val="20"/>
                <w:lang w:val="es-CO"/>
              </w:rPr>
              <w:t xml:space="preserve"> </w:t>
            </w:r>
          </w:p>
          <w:p w14:paraId="6B263B98" w14:textId="77777777" w:rsidR="00907397" w:rsidRPr="00C97568" w:rsidRDefault="00907397" w:rsidP="00907397">
            <w:pPr>
              <w:spacing w:after="0" w:line="240" w:lineRule="auto"/>
              <w:jc w:val="both"/>
              <w:rPr>
                <w:rFonts w:ascii="Cambria" w:hAnsi="Cambria"/>
                <w:color w:val="000000"/>
                <w:sz w:val="20"/>
                <w:szCs w:val="20"/>
                <w:lang w:val="es-CO"/>
              </w:rPr>
            </w:pPr>
            <w:r w:rsidRPr="00C97568">
              <w:rPr>
                <w:rFonts w:ascii="Cambria" w:hAnsi="Cambria"/>
                <w:b/>
                <w:color w:val="000000"/>
                <w:sz w:val="20"/>
                <w:szCs w:val="20"/>
                <w:lang w:val="es-CO"/>
              </w:rPr>
              <w:t>Relatoría vinculada:</w:t>
            </w:r>
            <w:r w:rsidRPr="00C97568">
              <w:rPr>
                <w:rFonts w:ascii="Cambria" w:hAnsi="Cambria"/>
                <w:color w:val="000000"/>
                <w:sz w:val="20"/>
                <w:szCs w:val="20"/>
                <w:lang w:val="es-CO"/>
              </w:rPr>
              <w:t xml:space="preserve"> Relatoría sobre los Derechos de la Niñez</w:t>
            </w:r>
          </w:p>
          <w:p w14:paraId="34C9311A" w14:textId="77777777" w:rsidR="00907397" w:rsidRPr="00C97568" w:rsidRDefault="00907397" w:rsidP="00907397">
            <w:pPr>
              <w:tabs>
                <w:tab w:val="left" w:pos="9270"/>
              </w:tabs>
              <w:spacing w:after="0" w:line="240" w:lineRule="auto"/>
              <w:jc w:val="both"/>
              <w:rPr>
                <w:rFonts w:ascii="Cambria" w:hAnsi="Cambria"/>
                <w:color w:val="000000"/>
                <w:sz w:val="20"/>
                <w:szCs w:val="20"/>
                <w:lang w:val="es-CO"/>
              </w:rPr>
            </w:pPr>
            <w:r w:rsidRPr="00C97568">
              <w:rPr>
                <w:rFonts w:ascii="Cambria" w:hAnsi="Cambria"/>
                <w:b/>
                <w:color w:val="000000"/>
                <w:sz w:val="20"/>
                <w:szCs w:val="20"/>
                <w:lang w:val="es-CO"/>
              </w:rPr>
              <w:t>Temas:</w:t>
            </w:r>
            <w:r w:rsidRPr="00C97568">
              <w:rPr>
                <w:rFonts w:ascii="Cambria" w:hAnsi="Cambria"/>
                <w:color w:val="000000"/>
                <w:sz w:val="20"/>
                <w:szCs w:val="20"/>
                <w:lang w:val="es-CO"/>
              </w:rPr>
              <w:t xml:space="preserve"> Ejecuciones sumarias, extrajudiciales o arbitrarias/ Derecho a la vida/ / Derecho a las garantías judiciales/ Derecho a las garantías de protección judicial/ Investigación/ Militarización/ Niños, ñiñas y adolescentes/Servicio militar obligatorio</w:t>
            </w:r>
          </w:p>
          <w:p w14:paraId="256D8817" w14:textId="77777777" w:rsidR="00907397" w:rsidRPr="00C97568" w:rsidRDefault="00907397" w:rsidP="00907397">
            <w:pPr>
              <w:spacing w:after="0"/>
              <w:jc w:val="both"/>
              <w:rPr>
                <w:rFonts w:ascii="Cambria" w:hAnsi="Cambria"/>
                <w:color w:val="000000"/>
                <w:sz w:val="20"/>
                <w:szCs w:val="20"/>
                <w:lang w:val="es-CO"/>
              </w:rPr>
            </w:pPr>
          </w:p>
          <w:p w14:paraId="11796D51" w14:textId="4CF3ECFE" w:rsidR="00907397" w:rsidRPr="00C97568" w:rsidRDefault="00907397" w:rsidP="00907397">
            <w:pPr>
              <w:spacing w:line="240" w:lineRule="auto"/>
              <w:jc w:val="both"/>
              <w:rPr>
                <w:rFonts w:ascii="Cambria" w:hAnsi="Cambria"/>
                <w:color w:val="000000"/>
                <w:sz w:val="20"/>
                <w:szCs w:val="20"/>
                <w:lang w:val="es-CO"/>
              </w:rPr>
            </w:pPr>
            <w:r w:rsidRPr="00C97568">
              <w:rPr>
                <w:rFonts w:ascii="Cambria" w:hAnsi="Cambria"/>
                <w:b/>
                <w:color w:val="000000"/>
                <w:sz w:val="20"/>
                <w:szCs w:val="20"/>
                <w:lang w:val="es-CO"/>
              </w:rPr>
              <w:t>Hechos:</w:t>
            </w:r>
            <w:r w:rsidRPr="00C97568">
              <w:rPr>
                <w:rFonts w:ascii="Cambria" w:hAnsi="Cambria"/>
                <w:color w:val="000000"/>
                <w:sz w:val="20"/>
                <w:szCs w:val="20"/>
                <w:lang w:val="es-CO"/>
              </w:rPr>
              <w:t xml:space="preserve"> El caso se refiere a los hechos sucedidos en el marzo de 2000, cuando el niño Pedro Antonio Centurión, de nacionalidad argentina y de 13 años de edad, fue reclutado forzosamente para prestar el servicio militar obligatorio. El niño fue retirado de su casa por miembros del ejército paraguayo, quienes lo trasladaron a un cuartel. La madre de la víctima acudió en ese entonces a las instalaciones del cuartel a informarle a las autoridades que su hijo era argentino y menor de edad, ante lo cual un capitán del Ejército Nacional le manifestó que la nacionalidad y edad de su hijo no eran de importancia y “que se encargaría de resolver eso” y “que él ya tenía la estatura y el cuerpo necesario” por lo cual le impidió retirar al niño del cuartel. Adicionalmente, Pedro Antonio Centurión fue trasladado a “Fortín Cano”, en donde pasó “hambre y dificultades de toda índole” por lo cual intentó fugarse en el mes de julio de 2000, pero fue capturado nuevamente a 40 kilómetros del cuartel y conducido al destacamento militar de “Vista Alegre”, en donde el 12 de septiembre de 2000, falleció en “extrañas circunstancias”. Destacan que, conforme al peritaje forense, Pedro Antonio Centurión murió como resultado de un impacto de arma larga de fuego. Los peticionarios alegaron que para que el niño Pedro Antonio Centurión cumpliera con el servicio militar obligatorio, miembros del ejército había falsificado su documento de identificación con el objeto de asegurar que poseía la edad necesaria para cumplirlo, así como también que era nacional de Paraguay. Asimismo, indicaron que se condenó a tres meses de arresto al entonces Comandante.</w:t>
            </w:r>
          </w:p>
          <w:p w14:paraId="039EA89A" w14:textId="7A6375BE" w:rsidR="000F6AC8" w:rsidRPr="00C97568" w:rsidRDefault="00907397" w:rsidP="00907397">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C97568">
              <w:rPr>
                <w:rFonts w:ascii="Cambria" w:hAnsi="Cambria"/>
                <w:b/>
                <w:color w:val="000000"/>
                <w:sz w:val="20"/>
                <w:szCs w:val="20"/>
                <w:lang w:val="es-CO"/>
              </w:rPr>
              <w:t>Derechos declarados admisibles:</w:t>
            </w:r>
            <w:r w:rsidRPr="00C97568">
              <w:rPr>
                <w:rFonts w:ascii="Cambria" w:hAnsi="Cambria"/>
                <w:color w:val="000000"/>
                <w:sz w:val="20"/>
                <w:szCs w:val="20"/>
                <w:lang w:val="es-CO"/>
              </w:rPr>
              <w:t xml:space="preserve"> La comisión declaró admisible el caso por la presunta violación de los derechos consagrados en los artículos 4, 5, 6, 7, 8, 19 y 25 de la Convención Americana de Derechos Humanos.</w:t>
            </w:r>
          </w:p>
        </w:tc>
      </w:tr>
    </w:tbl>
    <w:p w14:paraId="1800F6C1" w14:textId="47EC9A3F" w:rsidR="00907397" w:rsidRDefault="00907397" w:rsidP="003B3362">
      <w:pPr>
        <w:spacing w:after="0" w:line="240" w:lineRule="auto"/>
        <w:contextualSpacing/>
        <w:jc w:val="both"/>
        <w:rPr>
          <w:rFonts w:ascii="Cambria" w:eastAsia="Batang" w:hAnsi="Cambria" w:cs="Calibri Light"/>
          <w:b/>
          <w:color w:val="080808"/>
          <w:lang w:val="es-CO"/>
        </w:rPr>
      </w:pPr>
    </w:p>
    <w:p w14:paraId="6E5EDA60" w14:textId="1971480D" w:rsidR="003B3362" w:rsidRPr="0009182C" w:rsidRDefault="00907397" w:rsidP="0060428A">
      <w:pPr>
        <w:spacing w:after="0" w:line="240" w:lineRule="auto"/>
        <w:rPr>
          <w:rFonts w:ascii="Cambria" w:eastAsia="Batang" w:hAnsi="Cambria" w:cs="Calibri Light"/>
          <w:b/>
          <w:color w:val="080808"/>
          <w:lang w:val="es-CO"/>
        </w:rPr>
      </w:pPr>
      <w:r>
        <w:rPr>
          <w:rFonts w:ascii="Cambria" w:eastAsia="Batang" w:hAnsi="Cambria" w:cs="Calibri Light"/>
          <w:b/>
          <w:color w:val="080808"/>
          <w:lang w:val="es-CO"/>
        </w:rPr>
        <w:br w:type="page"/>
      </w:r>
    </w:p>
    <w:p w14:paraId="78070B13" w14:textId="77777777" w:rsidR="003B3362"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lastRenderedPageBreak/>
        <w:t>ACTIVIDAD PROCESAL</w:t>
      </w:r>
    </w:p>
    <w:p w14:paraId="5D397683" w14:textId="77777777" w:rsidR="00BD6A10" w:rsidRPr="00C97568" w:rsidRDefault="00BD6A10" w:rsidP="00C97568">
      <w:pPr>
        <w:spacing w:after="0" w:line="240" w:lineRule="auto"/>
        <w:ind w:firstLine="720"/>
        <w:contextualSpacing/>
        <w:rPr>
          <w:rFonts w:ascii="Cambria" w:eastAsia="Batang" w:hAnsi="Cambria"/>
          <w:b/>
          <w:color w:val="080808"/>
          <w:sz w:val="20"/>
          <w:szCs w:val="20"/>
          <w:lang w:val="es-CO"/>
        </w:rPr>
      </w:pPr>
    </w:p>
    <w:p w14:paraId="455162FB" w14:textId="42A13047" w:rsidR="00907397" w:rsidRPr="00C97568" w:rsidRDefault="00D66F6E" w:rsidP="00C97568">
      <w:pPr>
        <w:numPr>
          <w:ilvl w:val="0"/>
          <w:numId w:val="41"/>
        </w:numPr>
        <w:tabs>
          <w:tab w:val="left" w:pos="0"/>
        </w:tabs>
        <w:spacing w:after="0" w:line="240" w:lineRule="auto"/>
        <w:ind w:left="0" w:firstLine="720"/>
        <w:jc w:val="both"/>
        <w:rPr>
          <w:rFonts w:ascii="Cambria" w:hAnsi="Cambria" w:cs="Calibri Light"/>
          <w:color w:val="000000"/>
          <w:sz w:val="20"/>
          <w:szCs w:val="20"/>
          <w:lang w:val="es-CO"/>
        </w:rPr>
      </w:pPr>
      <w:r w:rsidRPr="00C97568">
        <w:rPr>
          <w:rFonts w:ascii="Cambria" w:hAnsi="Cambria" w:cs="Calibri Light"/>
          <w:color w:val="000000"/>
          <w:sz w:val="20"/>
          <w:szCs w:val="20"/>
          <w:lang w:val="es-CO"/>
        </w:rPr>
        <w:t>El 5 de agosto de 2011, las partes firmaron</w:t>
      </w:r>
      <w:r w:rsidR="00814672" w:rsidRPr="00C97568">
        <w:rPr>
          <w:rFonts w:ascii="Cambria" w:hAnsi="Cambria" w:cs="Calibri Light"/>
          <w:color w:val="000000"/>
          <w:sz w:val="20"/>
          <w:szCs w:val="20"/>
          <w:lang w:val="es-CO"/>
        </w:rPr>
        <w:t xml:space="preserve"> un acuerdo de solución amistosa. </w:t>
      </w:r>
    </w:p>
    <w:p w14:paraId="1DA5279D" w14:textId="77777777" w:rsidR="00814672" w:rsidRPr="00C97568" w:rsidRDefault="00814672" w:rsidP="00C97568">
      <w:pPr>
        <w:tabs>
          <w:tab w:val="left" w:pos="0"/>
        </w:tabs>
        <w:spacing w:after="0" w:line="240" w:lineRule="auto"/>
        <w:ind w:left="720"/>
        <w:jc w:val="both"/>
        <w:rPr>
          <w:rFonts w:ascii="Cambria" w:hAnsi="Cambria" w:cs="Calibri Light"/>
          <w:b/>
          <w:bCs/>
          <w:color w:val="000000"/>
          <w:sz w:val="20"/>
          <w:szCs w:val="20"/>
          <w:lang w:val="es-CO"/>
        </w:rPr>
      </w:pPr>
    </w:p>
    <w:p w14:paraId="5AF7FFE4" w14:textId="27F74F86" w:rsidR="000D5267" w:rsidRPr="00C97568" w:rsidRDefault="00907397" w:rsidP="000D5267">
      <w:pPr>
        <w:numPr>
          <w:ilvl w:val="0"/>
          <w:numId w:val="41"/>
        </w:numPr>
        <w:tabs>
          <w:tab w:val="left" w:pos="0"/>
        </w:tabs>
        <w:spacing w:after="0" w:line="240" w:lineRule="auto"/>
        <w:ind w:left="0" w:firstLine="720"/>
        <w:jc w:val="both"/>
        <w:rPr>
          <w:rFonts w:ascii="Cambria" w:hAnsi="Cambria" w:cs="Calibri Light"/>
          <w:b/>
          <w:bCs/>
          <w:color w:val="000000"/>
          <w:sz w:val="20"/>
          <w:szCs w:val="20"/>
          <w:lang w:val="es-CO"/>
        </w:rPr>
      </w:pPr>
      <w:r w:rsidRPr="00C97568">
        <w:rPr>
          <w:rFonts w:ascii="Cambria" w:hAnsi="Cambria" w:cs="Calibri Light"/>
          <w:color w:val="000000"/>
          <w:sz w:val="20"/>
          <w:szCs w:val="20"/>
          <w:lang w:val="es-CO"/>
        </w:rPr>
        <w:t xml:space="preserve">El </w:t>
      </w:r>
      <w:r w:rsidR="006C784B" w:rsidRPr="00C97568">
        <w:rPr>
          <w:rFonts w:ascii="Cambria" w:hAnsi="Cambria" w:cs="Calibri Light"/>
          <w:color w:val="000000"/>
          <w:sz w:val="20"/>
          <w:szCs w:val="20"/>
          <w:lang w:val="es-CO"/>
        </w:rPr>
        <w:t xml:space="preserve">el 20 de noviembre de 2018, la CIDH publicó el informe de homologación No. </w:t>
      </w:r>
      <w:r w:rsidR="000D5267" w:rsidRPr="00C97568">
        <w:rPr>
          <w:rFonts w:ascii="Cambria" w:hAnsi="Cambria" w:cs="Calibri Light"/>
          <w:color w:val="000000"/>
          <w:sz w:val="20"/>
          <w:szCs w:val="20"/>
          <w:lang w:val="es-CO"/>
        </w:rPr>
        <w:t>130/18</w:t>
      </w:r>
      <w:r w:rsidR="00D22BA6">
        <w:rPr>
          <w:rFonts w:ascii="Cambria" w:hAnsi="Cambria" w:cs="Calibri Light"/>
          <w:color w:val="000000"/>
          <w:sz w:val="20"/>
          <w:szCs w:val="20"/>
          <w:lang w:val="es-CO"/>
        </w:rPr>
        <w:t>, aprobando el acuerdo de solución amistosa</w:t>
      </w:r>
      <w:r w:rsidR="000D5267" w:rsidRPr="00C97568">
        <w:rPr>
          <w:rFonts w:ascii="Cambria" w:hAnsi="Cambria" w:cs="Calibri Light"/>
          <w:color w:val="000000"/>
          <w:sz w:val="20"/>
          <w:szCs w:val="20"/>
          <w:lang w:val="es-CO"/>
        </w:rPr>
        <w:t xml:space="preserve">. </w:t>
      </w:r>
    </w:p>
    <w:p w14:paraId="34E6278C" w14:textId="77777777" w:rsidR="00BD6A10" w:rsidRDefault="00BD6A10" w:rsidP="00C97568">
      <w:pPr>
        <w:tabs>
          <w:tab w:val="left" w:pos="0"/>
        </w:tabs>
        <w:spacing w:after="0" w:line="240" w:lineRule="auto"/>
        <w:ind w:left="720"/>
        <w:jc w:val="both"/>
        <w:rPr>
          <w:rFonts w:ascii="Cambria" w:eastAsia="Batang" w:hAnsi="Cambria"/>
          <w:b/>
          <w:color w:val="080808"/>
          <w:lang w:val="es-CO"/>
        </w:rPr>
      </w:pPr>
    </w:p>
    <w:p w14:paraId="17FE6AD0" w14:textId="77777777" w:rsidR="00A76D93" w:rsidRPr="00A76D93" w:rsidRDefault="00A76D93" w:rsidP="00A76D93">
      <w:pPr>
        <w:pStyle w:val="ListParagraph"/>
        <w:numPr>
          <w:ilvl w:val="0"/>
          <w:numId w:val="37"/>
        </w:numPr>
        <w:spacing w:after="0" w:line="240" w:lineRule="auto"/>
        <w:ind w:left="0" w:firstLine="709"/>
        <w:jc w:val="both"/>
        <w:rPr>
          <w:rFonts w:ascii="Cambria" w:eastAsia="Batang" w:hAnsi="Cambria" w:cs="Calibri Light"/>
          <w:b/>
          <w:color w:val="080808"/>
          <w:lang w:val="es-CO"/>
        </w:rPr>
      </w:pPr>
      <w:r w:rsidRPr="00A76D93">
        <w:rPr>
          <w:rFonts w:ascii="Cambria" w:eastAsia="Batang" w:hAnsi="Cambria" w:cs="Calibri Light"/>
          <w:b/>
          <w:color w:val="080808"/>
          <w:lang w:val="es-CO"/>
        </w:rPr>
        <w:t>ANÁLISIS DEL CUMPLIMIENTO DE LAS CLÁUSULAS DEL ACUERDO DE SOLUCIÓN AMISTOSA</w:t>
      </w:r>
    </w:p>
    <w:p w14:paraId="67A36B0B" w14:textId="77777777" w:rsidR="003B3362" w:rsidRPr="0009182C" w:rsidRDefault="003B3362" w:rsidP="003B3362">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D63E99" w14:paraId="14155F16" w14:textId="77777777" w:rsidTr="00F024F0">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C97568" w:rsidRDefault="003B3362" w:rsidP="00F024F0">
            <w:pPr>
              <w:tabs>
                <w:tab w:val="center" w:pos="2049"/>
              </w:tabs>
              <w:spacing w:after="0" w:line="240" w:lineRule="auto"/>
              <w:jc w:val="center"/>
              <w:rPr>
                <w:rFonts w:ascii="Cambria" w:eastAsia="Batang" w:hAnsi="Cambria"/>
                <w:b/>
                <w:color w:val="080808"/>
                <w:sz w:val="20"/>
                <w:szCs w:val="20"/>
                <w:lang w:val="es-CO"/>
              </w:rPr>
            </w:pPr>
            <w:r w:rsidRPr="00C97568">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C97568" w:rsidRDefault="003B3362" w:rsidP="00F024F0">
            <w:pPr>
              <w:spacing w:after="0" w:line="240" w:lineRule="auto"/>
              <w:jc w:val="center"/>
              <w:rPr>
                <w:rFonts w:ascii="Cambria" w:eastAsia="Batang" w:hAnsi="Cambria"/>
                <w:b/>
                <w:color w:val="080808"/>
                <w:sz w:val="20"/>
                <w:szCs w:val="20"/>
                <w:lang w:val="es-CO"/>
              </w:rPr>
            </w:pPr>
            <w:r w:rsidRPr="00C97568">
              <w:rPr>
                <w:rFonts w:ascii="Cambria" w:eastAsia="Batang" w:hAnsi="Cambria"/>
                <w:b/>
                <w:color w:val="080808"/>
                <w:sz w:val="20"/>
                <w:szCs w:val="20"/>
                <w:lang w:val="es-CO"/>
              </w:rPr>
              <w:t>Estado de Cumplimiento</w:t>
            </w:r>
          </w:p>
        </w:tc>
      </w:tr>
      <w:tr w:rsidR="00897783" w:rsidRPr="00D63E99" w14:paraId="16FD6143"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06517C49" w14:textId="7FCBDB3B" w:rsidR="00897783" w:rsidRPr="00C97568" w:rsidRDefault="0060428A" w:rsidP="00897783">
            <w:pPr>
              <w:spacing w:after="0" w:line="240" w:lineRule="auto"/>
              <w:jc w:val="both"/>
              <w:rPr>
                <w:rFonts w:ascii="Cambria" w:eastAsia="Batang" w:hAnsi="Cambria"/>
                <w:b/>
                <w:bCs/>
                <w:color w:val="080808"/>
                <w:sz w:val="20"/>
                <w:szCs w:val="20"/>
                <w:lang w:val="es-CO"/>
              </w:rPr>
            </w:pPr>
            <w:r w:rsidRPr="00C97568">
              <w:rPr>
                <w:rFonts w:ascii="Cambria" w:eastAsia="Times New Roman" w:hAnsi="Cambria"/>
                <w:b/>
                <w:bCs/>
                <w:color w:val="000000"/>
                <w:kern w:val="36"/>
                <w:sz w:val="20"/>
                <w:szCs w:val="20"/>
                <w:lang w:val="es-CO"/>
              </w:rPr>
              <w:t>PRIMERA: RECONOCIMIENTO DE RESPONSABILIDAD […]</w:t>
            </w:r>
          </w:p>
        </w:tc>
        <w:tc>
          <w:tcPr>
            <w:tcW w:w="1701" w:type="dxa"/>
            <w:tcBorders>
              <w:top w:val="single" w:sz="4" w:space="0" w:color="auto"/>
              <w:left w:val="single" w:sz="4" w:space="0" w:color="auto"/>
              <w:bottom w:val="single" w:sz="4" w:space="0" w:color="auto"/>
              <w:right w:val="single" w:sz="4" w:space="0" w:color="auto"/>
            </w:tcBorders>
            <w:vAlign w:val="center"/>
          </w:tcPr>
          <w:p w14:paraId="7F19AC8C" w14:textId="4BC8CC6C" w:rsidR="00897783" w:rsidRPr="00C97568" w:rsidRDefault="00897783" w:rsidP="00897783">
            <w:pPr>
              <w:spacing w:after="0" w:line="240" w:lineRule="auto"/>
              <w:jc w:val="center"/>
              <w:rPr>
                <w:rFonts w:ascii="Cambria" w:eastAsia="Batang" w:hAnsi="Cambria"/>
                <w:b/>
                <w:color w:val="080808"/>
                <w:sz w:val="20"/>
                <w:szCs w:val="20"/>
                <w:lang w:val="es-CO"/>
              </w:rPr>
            </w:pPr>
            <w:r w:rsidRPr="00C97568">
              <w:rPr>
                <w:rFonts w:ascii="Cambria" w:hAnsi="Cambria"/>
                <w:b/>
                <w:color w:val="000000"/>
                <w:sz w:val="20"/>
                <w:szCs w:val="20"/>
                <w:lang w:val="es-CO"/>
              </w:rPr>
              <w:t>Cláusula declarativa</w:t>
            </w:r>
          </w:p>
        </w:tc>
      </w:tr>
      <w:tr w:rsidR="00897783" w:rsidRPr="00D63E99" w14:paraId="591D168B"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0AB36931" w14:textId="77777777" w:rsidR="0060428A" w:rsidRPr="00C97568" w:rsidRDefault="0060428A" w:rsidP="0060428A">
            <w:pPr>
              <w:spacing w:after="0" w:line="240" w:lineRule="auto"/>
              <w:jc w:val="both"/>
              <w:rPr>
                <w:rFonts w:ascii="Cambria" w:eastAsia="Batang" w:hAnsi="Cambria"/>
                <w:b/>
                <w:bCs/>
                <w:color w:val="080808"/>
                <w:sz w:val="20"/>
                <w:szCs w:val="20"/>
                <w:lang w:val="es-CO"/>
              </w:rPr>
            </w:pPr>
            <w:r w:rsidRPr="00C97568">
              <w:rPr>
                <w:rFonts w:ascii="Cambria" w:eastAsia="Batang" w:hAnsi="Cambria"/>
                <w:b/>
                <w:bCs/>
                <w:color w:val="080808"/>
                <w:sz w:val="20"/>
                <w:szCs w:val="20"/>
                <w:lang w:val="es-CO"/>
              </w:rPr>
              <w:t>SEGUNDA: ACTO PÚBLICO DE DISCULPAS Y RECONOCIMIENTO</w:t>
            </w:r>
          </w:p>
          <w:p w14:paraId="1FD72B69" w14:textId="77777777" w:rsidR="0060428A" w:rsidRPr="00C97568" w:rsidRDefault="0060428A" w:rsidP="0060428A">
            <w:pPr>
              <w:spacing w:after="0" w:line="240" w:lineRule="auto"/>
              <w:jc w:val="both"/>
              <w:rPr>
                <w:rFonts w:ascii="Cambria" w:eastAsia="Batang" w:hAnsi="Cambria"/>
                <w:color w:val="080808"/>
                <w:sz w:val="20"/>
                <w:szCs w:val="20"/>
                <w:lang w:val="es-CO"/>
              </w:rPr>
            </w:pPr>
            <w:r w:rsidRPr="00C97568">
              <w:rPr>
                <w:rFonts w:ascii="Cambria" w:eastAsia="Batang" w:hAnsi="Cambria"/>
                <w:color w:val="080808"/>
                <w:sz w:val="20"/>
                <w:szCs w:val="20"/>
                <w:lang w:val="es-CO"/>
              </w:rPr>
              <w:t>El Estado de Paraguay, en el plazo de cuatro meses a partir de la suscripción del presente Acuerdo, realizará un acto de disculpa pública y reconocimiento de responsabilidad internacional, en relación con las violaciones a los derechos humanos reconocidas anteriormente.</w:t>
            </w:r>
          </w:p>
          <w:p w14:paraId="1CA90DE0" w14:textId="77777777" w:rsidR="0060428A" w:rsidRPr="00C97568" w:rsidRDefault="0060428A" w:rsidP="0060428A">
            <w:pPr>
              <w:spacing w:after="0" w:line="240" w:lineRule="auto"/>
              <w:jc w:val="both"/>
              <w:rPr>
                <w:rFonts w:ascii="Cambria" w:eastAsia="Batang" w:hAnsi="Cambria"/>
                <w:color w:val="080808"/>
                <w:sz w:val="20"/>
                <w:szCs w:val="20"/>
                <w:lang w:val="es-CO"/>
              </w:rPr>
            </w:pPr>
            <w:r w:rsidRPr="00C97568">
              <w:rPr>
                <w:rFonts w:ascii="Cambria" w:eastAsia="Batang" w:hAnsi="Cambria"/>
                <w:color w:val="080808"/>
                <w:sz w:val="20"/>
                <w:szCs w:val="20"/>
                <w:lang w:val="es-CO"/>
              </w:rPr>
              <w:t>El texto de disculpa y reconocimiento será elaborado de común acuerdo entre el Estado y representantes de las víctimas. El referido reconocimiento será efectuado en un acto público que contará con la presencia del Ministro de Defensa, del Comandante del Ejército y de un representante del Comandante de las Fuerzas Militares, y de otras altas autoridades. El Estado garantizará la presencia en el acto de los familiares de la víctima, y comunicará del mismo a sus representantes, a organizaciones de derechos humanos y a los medios de prensa con una antelación de al menos 15 días.</w:t>
            </w:r>
          </w:p>
          <w:p w14:paraId="1C85FCBB" w14:textId="77777777" w:rsidR="0060428A" w:rsidRPr="00C97568" w:rsidRDefault="0060428A" w:rsidP="0060428A">
            <w:pPr>
              <w:spacing w:after="0" w:line="240" w:lineRule="auto"/>
              <w:jc w:val="both"/>
              <w:rPr>
                <w:rFonts w:ascii="Cambria" w:eastAsia="Batang" w:hAnsi="Cambria"/>
                <w:color w:val="080808"/>
                <w:sz w:val="20"/>
                <w:szCs w:val="20"/>
                <w:lang w:val="es-CO"/>
              </w:rPr>
            </w:pPr>
            <w:r w:rsidRPr="00C97568">
              <w:rPr>
                <w:rFonts w:ascii="Cambria" w:eastAsia="Batang" w:hAnsi="Cambria"/>
                <w:color w:val="080808"/>
                <w:sz w:val="20"/>
                <w:szCs w:val="20"/>
                <w:lang w:val="es-CO"/>
              </w:rPr>
              <w:t>El acto de disculpa y reconocimiento será ampliamente difundido en Radio Nacional (en español y guaraní), así como en otros medios masivos de comunicación.</w:t>
            </w:r>
          </w:p>
          <w:p w14:paraId="3D81FDF4" w14:textId="3781D23D" w:rsidR="00897783" w:rsidRPr="00C97568" w:rsidRDefault="0060428A" w:rsidP="0060428A">
            <w:pPr>
              <w:spacing w:after="0" w:line="240" w:lineRule="auto"/>
              <w:jc w:val="both"/>
              <w:rPr>
                <w:rFonts w:ascii="Cambria" w:eastAsia="Times New Roman" w:hAnsi="Cambria"/>
                <w:color w:val="080808"/>
                <w:sz w:val="20"/>
                <w:szCs w:val="20"/>
                <w:lang w:val="es-US"/>
              </w:rPr>
            </w:pPr>
            <w:r w:rsidRPr="00C97568">
              <w:rPr>
                <w:rFonts w:ascii="Cambria" w:eastAsia="Batang" w:hAnsi="Cambria"/>
                <w:color w:val="080808"/>
                <w:sz w:val="20"/>
                <w:szCs w:val="20"/>
                <w:lang w:val="es-CO"/>
              </w:rPr>
              <w:t>Paralelamente, el Estado se compromete a publicar el texto íntegro del Acuerdo de Solución Amistosa en un diario de circulación nacional y en la Gaceta Oficial. Además, se publicará en el website de la Presidencia de la República y del</w:t>
            </w:r>
            <w:r w:rsidR="00580916" w:rsidRPr="00D63E99">
              <w:rPr>
                <w:rFonts w:ascii="Cambria" w:eastAsia="Batang" w:hAnsi="Cambria"/>
                <w:color w:val="080808"/>
                <w:sz w:val="20"/>
                <w:szCs w:val="20"/>
                <w:lang w:val="es-CO"/>
              </w:rPr>
              <w:t xml:space="preserve"> Ministerio de Relaciones Exteriores manteniéndolo en línea por un lapso mínimo de seis meses</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64041C4B" w:rsidR="00897783" w:rsidRPr="00C97568" w:rsidRDefault="0060428A" w:rsidP="00897783">
            <w:pPr>
              <w:spacing w:after="0" w:line="240" w:lineRule="auto"/>
              <w:jc w:val="center"/>
              <w:rPr>
                <w:rFonts w:ascii="Cambria" w:eastAsia="Batang" w:hAnsi="Cambria"/>
                <w:b/>
                <w:color w:val="080808"/>
                <w:sz w:val="20"/>
                <w:szCs w:val="20"/>
                <w:lang w:val="es-CO"/>
              </w:rPr>
            </w:pPr>
            <w:r w:rsidRPr="00C97568">
              <w:rPr>
                <w:rFonts w:ascii="Cambria" w:eastAsia="Batang" w:hAnsi="Cambria"/>
                <w:b/>
                <w:color w:val="080808"/>
                <w:sz w:val="20"/>
                <w:szCs w:val="20"/>
                <w:lang w:val="es-CO"/>
              </w:rPr>
              <w:t>Total</w:t>
            </w:r>
            <w:r w:rsidRPr="00C97568">
              <w:rPr>
                <w:rFonts w:ascii="Cambria" w:eastAsia="Batang" w:hAnsi="Cambria"/>
                <w:b/>
                <w:color w:val="080808"/>
                <w:sz w:val="20"/>
                <w:szCs w:val="20"/>
                <w:vertAlign w:val="superscript"/>
                <w:lang w:val="es-CO"/>
              </w:rPr>
              <w:footnoteReference w:id="1"/>
            </w:r>
          </w:p>
        </w:tc>
      </w:tr>
      <w:tr w:rsidR="00897783" w:rsidRPr="00D63E99" w14:paraId="43178BB7" w14:textId="77777777" w:rsidTr="00F024F0">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6DABFC80" w14:textId="77777777" w:rsidR="0060428A" w:rsidRPr="00C97568" w:rsidRDefault="0060428A" w:rsidP="0060428A">
            <w:pPr>
              <w:spacing w:after="0" w:line="240" w:lineRule="auto"/>
              <w:jc w:val="both"/>
              <w:rPr>
                <w:rFonts w:ascii="Cambria" w:eastAsia="Batang" w:hAnsi="Cambria"/>
                <w:b/>
                <w:bCs/>
                <w:color w:val="080808"/>
                <w:sz w:val="20"/>
                <w:szCs w:val="20"/>
                <w:lang w:val="es-CO"/>
              </w:rPr>
            </w:pPr>
            <w:r w:rsidRPr="00C97568">
              <w:rPr>
                <w:rFonts w:ascii="Cambria" w:eastAsia="Batang" w:hAnsi="Cambria"/>
                <w:b/>
                <w:bCs/>
                <w:color w:val="080808"/>
                <w:sz w:val="20"/>
                <w:szCs w:val="20"/>
                <w:lang w:val="es-CO"/>
              </w:rPr>
              <w:t>TERCERA: MEDIDA DE REHABILITACION SOCIAL</w:t>
            </w:r>
          </w:p>
          <w:p w14:paraId="7A02BAB3" w14:textId="77777777" w:rsidR="0060428A" w:rsidRPr="00C97568" w:rsidRDefault="0060428A" w:rsidP="0060428A">
            <w:pPr>
              <w:spacing w:after="0" w:line="240" w:lineRule="auto"/>
              <w:jc w:val="both"/>
              <w:rPr>
                <w:rFonts w:ascii="Cambria" w:eastAsia="Batang" w:hAnsi="Cambria"/>
                <w:color w:val="080808"/>
                <w:sz w:val="20"/>
                <w:szCs w:val="20"/>
                <w:lang w:val="es-CO"/>
              </w:rPr>
            </w:pPr>
            <w:r w:rsidRPr="00C97568">
              <w:rPr>
                <w:rFonts w:ascii="Cambria" w:eastAsia="Batang" w:hAnsi="Cambria"/>
                <w:color w:val="080808"/>
                <w:sz w:val="20"/>
                <w:szCs w:val="20"/>
                <w:lang w:val="es-CO"/>
              </w:rPr>
              <w:t>El Estado Paraguayo se compromete a transferir a favor de la Señora Semproniana Centurión, madre de la víctima, un terreno, seleccionado por los peticionarios que se encuentra ubicado en la Compañía 8 Tarumandy del distrito de Luque, el mismo será transferido por la Secretaría de Acción Social (SAS).</w:t>
            </w:r>
          </w:p>
          <w:p w14:paraId="5160AF5D" w14:textId="55C16887" w:rsidR="00897783" w:rsidRPr="00C97568" w:rsidRDefault="0060428A" w:rsidP="0060428A">
            <w:pPr>
              <w:spacing w:after="0" w:line="240" w:lineRule="auto"/>
              <w:ind w:firstLine="28"/>
              <w:jc w:val="both"/>
              <w:rPr>
                <w:rFonts w:ascii="Cambria" w:hAnsi="Cambria"/>
                <w:color w:val="080808"/>
                <w:sz w:val="20"/>
                <w:szCs w:val="20"/>
                <w:lang w:val="es-CO"/>
              </w:rPr>
            </w:pPr>
            <w:r w:rsidRPr="00C97568">
              <w:rPr>
                <w:rFonts w:ascii="Cambria" w:eastAsia="Batang" w:hAnsi="Cambria"/>
                <w:color w:val="080808"/>
                <w:sz w:val="20"/>
                <w:szCs w:val="20"/>
                <w:lang w:val="es-CO"/>
              </w:rPr>
              <w:t>Asimismo, el Estado asume el compromiso de construir una vivienda, con los estándares propuestos por el ente rector en temas de vivienda y hábitat, la Secretaría Nacional de la Vivienda y Hábitat (SENAVITAT), en el terreno más arriba señalado.</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482F93F1" w:rsidR="00897783" w:rsidRPr="00C97568" w:rsidRDefault="00897783" w:rsidP="00897783">
            <w:pPr>
              <w:spacing w:after="0" w:line="240" w:lineRule="auto"/>
              <w:jc w:val="center"/>
              <w:rPr>
                <w:rFonts w:ascii="Cambria" w:eastAsia="Batang" w:hAnsi="Cambria"/>
                <w:b/>
                <w:color w:val="080808"/>
                <w:sz w:val="20"/>
                <w:szCs w:val="20"/>
                <w:lang w:val="es-CO"/>
              </w:rPr>
            </w:pPr>
            <w:r w:rsidRPr="00C97568">
              <w:rPr>
                <w:rFonts w:ascii="Cambria" w:eastAsia="Batang" w:hAnsi="Cambria"/>
                <w:b/>
                <w:bCs/>
                <w:color w:val="000000"/>
                <w:sz w:val="20"/>
                <w:szCs w:val="20"/>
                <w:lang w:val="es-CO" w:eastAsia="es-ES_tradnl"/>
              </w:rPr>
              <w:t>Total</w:t>
            </w:r>
            <w:r w:rsidRPr="00C97568">
              <w:rPr>
                <w:rFonts w:ascii="Cambria" w:eastAsia="Batang" w:hAnsi="Cambria"/>
                <w:b/>
                <w:bCs/>
                <w:color w:val="000000"/>
                <w:sz w:val="20"/>
                <w:szCs w:val="20"/>
                <w:vertAlign w:val="superscript"/>
                <w:lang w:val="es-CO" w:eastAsia="es-ES_tradnl"/>
              </w:rPr>
              <w:footnoteReference w:id="2"/>
            </w:r>
          </w:p>
        </w:tc>
      </w:tr>
      <w:tr w:rsidR="00897783" w:rsidRPr="00D63E99" w14:paraId="3EFBC0C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20C64825" w14:textId="77777777" w:rsidR="00556DB5" w:rsidRPr="00C97568" w:rsidRDefault="00556DB5" w:rsidP="00556DB5">
            <w:pPr>
              <w:spacing w:after="0" w:line="240" w:lineRule="auto"/>
              <w:jc w:val="both"/>
              <w:rPr>
                <w:rFonts w:ascii="Cambria" w:hAnsi="Cambria"/>
                <w:b/>
                <w:bCs/>
                <w:color w:val="080808"/>
                <w:sz w:val="20"/>
                <w:szCs w:val="20"/>
                <w:lang w:val="es-CO"/>
              </w:rPr>
            </w:pPr>
            <w:r w:rsidRPr="00C97568">
              <w:rPr>
                <w:rFonts w:ascii="Cambria" w:hAnsi="Cambria"/>
                <w:b/>
                <w:bCs/>
                <w:color w:val="080808"/>
                <w:sz w:val="20"/>
                <w:szCs w:val="20"/>
                <w:lang w:val="es-CO"/>
              </w:rPr>
              <w:t>CUARTA: MEDIDAS DE SATISFACCIÓN</w:t>
            </w:r>
          </w:p>
          <w:p w14:paraId="2A1CB548" w14:textId="71CA7EBE" w:rsidR="00897783" w:rsidRPr="00C97568" w:rsidRDefault="00556DB5" w:rsidP="00556DB5">
            <w:pPr>
              <w:spacing w:after="0" w:line="240" w:lineRule="auto"/>
              <w:jc w:val="both"/>
              <w:rPr>
                <w:rFonts w:ascii="Cambria" w:hAnsi="Cambria"/>
                <w:color w:val="080808"/>
                <w:sz w:val="20"/>
                <w:szCs w:val="20"/>
                <w:lang w:val="es-CO"/>
              </w:rPr>
            </w:pPr>
            <w:r w:rsidRPr="00C97568">
              <w:rPr>
                <w:rFonts w:ascii="Cambria" w:hAnsi="Cambria"/>
                <w:bCs/>
                <w:color w:val="080808"/>
                <w:sz w:val="20"/>
                <w:szCs w:val="20"/>
                <w:lang w:val="es-CO"/>
              </w:rPr>
              <w:t>El Estado, en el destacamento militar donde desapareció el niño, deberá instalar una placa conmemorativa con un texto acordado entre las partes alusivo al fallecimiento del niño soldado. Además, se designará una calle con el nombre del niño en la ciudad de Luque-Loma Merlo, donde residen los familiares de la víctima.</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5551D3C7" w:rsidR="00897783" w:rsidRPr="00C97568" w:rsidRDefault="00556DB5" w:rsidP="00897783">
            <w:pPr>
              <w:spacing w:after="0" w:line="240" w:lineRule="auto"/>
              <w:jc w:val="center"/>
              <w:rPr>
                <w:rFonts w:ascii="Cambria" w:eastAsia="Batang" w:hAnsi="Cambria"/>
                <w:b/>
                <w:color w:val="080808"/>
                <w:sz w:val="20"/>
                <w:szCs w:val="20"/>
                <w:lang w:val="es-CO"/>
              </w:rPr>
            </w:pPr>
            <w:r w:rsidRPr="00C97568">
              <w:rPr>
                <w:rFonts w:ascii="Cambria" w:eastAsia="Batang" w:hAnsi="Cambria"/>
                <w:b/>
                <w:iCs/>
                <w:color w:val="080808"/>
                <w:sz w:val="20"/>
                <w:szCs w:val="20"/>
                <w:lang w:val="es-CO"/>
              </w:rPr>
              <w:t>Total</w:t>
            </w:r>
            <w:r w:rsidRPr="00C97568">
              <w:rPr>
                <w:rFonts w:ascii="Cambria" w:eastAsia="Batang" w:hAnsi="Cambria"/>
                <w:b/>
                <w:iCs/>
                <w:color w:val="080808"/>
                <w:sz w:val="20"/>
                <w:szCs w:val="20"/>
                <w:vertAlign w:val="superscript"/>
                <w:lang w:val="es-CO"/>
              </w:rPr>
              <w:footnoteReference w:id="3"/>
            </w:r>
          </w:p>
        </w:tc>
      </w:tr>
      <w:tr w:rsidR="00E66C1B" w:rsidRPr="00D63E99" w14:paraId="4C6B616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47676D28" w14:textId="77777777" w:rsidR="00556DB5" w:rsidRPr="00C97568" w:rsidRDefault="00556DB5" w:rsidP="00556DB5">
            <w:pPr>
              <w:spacing w:after="0" w:line="240" w:lineRule="auto"/>
              <w:jc w:val="both"/>
              <w:rPr>
                <w:rFonts w:ascii="Cambria" w:hAnsi="Cambria"/>
                <w:b/>
                <w:bCs/>
                <w:color w:val="080808"/>
                <w:sz w:val="20"/>
                <w:szCs w:val="20"/>
                <w:lang w:val="es-CO"/>
              </w:rPr>
            </w:pPr>
            <w:r w:rsidRPr="00C97568">
              <w:rPr>
                <w:rFonts w:ascii="Cambria" w:hAnsi="Cambria"/>
                <w:b/>
                <w:bCs/>
                <w:color w:val="080808"/>
                <w:sz w:val="20"/>
                <w:szCs w:val="20"/>
                <w:lang w:val="es-CO"/>
              </w:rPr>
              <w:lastRenderedPageBreak/>
              <w:t>QUINTA: MEDIDAS DE ASISTENCIA PRIMARIA E INTEGRAL DE SALUD</w:t>
            </w:r>
          </w:p>
          <w:p w14:paraId="2E333C47" w14:textId="65D36588" w:rsidR="00E66C1B" w:rsidRPr="00C97568" w:rsidRDefault="00556DB5" w:rsidP="00556DB5">
            <w:pPr>
              <w:spacing w:after="0" w:line="240" w:lineRule="auto"/>
              <w:jc w:val="both"/>
              <w:rPr>
                <w:rFonts w:ascii="Cambria" w:hAnsi="Cambria"/>
                <w:color w:val="080808"/>
                <w:sz w:val="20"/>
                <w:szCs w:val="20"/>
                <w:lang w:val="es-CO"/>
              </w:rPr>
            </w:pPr>
            <w:r w:rsidRPr="00C97568">
              <w:rPr>
                <w:rFonts w:ascii="Cambria" w:hAnsi="Cambria"/>
                <w:color w:val="080808"/>
                <w:sz w:val="20"/>
                <w:szCs w:val="20"/>
                <w:lang w:val="es-CO"/>
              </w:rPr>
              <w:t>La República del Paraguay se compromete a brindar asistencia médica y psicológica gratuita a los padres de la víctima y hermanos, así como la provisión de medicamentos para la atención de las afecciones que ellos padecen. Dicha atención deberá hacerse en el hospital o centro de salud más cercano al domicilio de los padres y que ofrezca los servicios y medicación adecuada al tratamiento preciso que se requieran en cada caso, indistintamente a la atención en el Hospital Militar.</w:t>
            </w:r>
          </w:p>
        </w:tc>
        <w:tc>
          <w:tcPr>
            <w:tcW w:w="1701" w:type="dxa"/>
            <w:tcBorders>
              <w:top w:val="single" w:sz="4" w:space="0" w:color="auto"/>
              <w:left w:val="single" w:sz="4" w:space="0" w:color="auto"/>
              <w:bottom w:val="single" w:sz="4" w:space="0" w:color="auto"/>
              <w:right w:val="single" w:sz="4" w:space="0" w:color="auto"/>
            </w:tcBorders>
            <w:vAlign w:val="center"/>
          </w:tcPr>
          <w:p w14:paraId="7E9C4761" w14:textId="08B8B2B4" w:rsidR="00E66C1B" w:rsidRPr="00C97568" w:rsidRDefault="00556DB5" w:rsidP="00897783">
            <w:pPr>
              <w:spacing w:after="0" w:line="240" w:lineRule="auto"/>
              <w:jc w:val="center"/>
              <w:rPr>
                <w:rFonts w:ascii="Cambria" w:eastAsia="Batang" w:hAnsi="Cambria"/>
                <w:b/>
                <w:color w:val="080808"/>
                <w:sz w:val="20"/>
                <w:szCs w:val="20"/>
                <w:lang w:val="es-CO"/>
              </w:rPr>
            </w:pPr>
            <w:r w:rsidRPr="00C97568">
              <w:rPr>
                <w:rFonts w:ascii="Cambria" w:eastAsia="Batang" w:hAnsi="Cambria"/>
                <w:b/>
                <w:iCs/>
                <w:color w:val="080808"/>
                <w:sz w:val="20"/>
                <w:szCs w:val="20"/>
                <w:lang w:val="es-CO"/>
              </w:rPr>
              <w:t>Total</w:t>
            </w:r>
            <w:r w:rsidRPr="00C97568">
              <w:rPr>
                <w:rFonts w:ascii="Cambria" w:eastAsia="Batang" w:hAnsi="Cambria"/>
                <w:b/>
                <w:iCs/>
                <w:color w:val="080808"/>
                <w:sz w:val="20"/>
                <w:szCs w:val="20"/>
                <w:vertAlign w:val="superscript"/>
                <w:lang w:val="es-CO"/>
              </w:rPr>
              <w:footnoteReference w:id="4"/>
            </w:r>
          </w:p>
        </w:tc>
      </w:tr>
      <w:tr w:rsidR="00E66C1B" w:rsidRPr="000D5267" w14:paraId="54877AA4"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4A67ADF1" w14:textId="77777777" w:rsidR="00556DB5" w:rsidRPr="00C97568" w:rsidRDefault="00556DB5" w:rsidP="00556DB5">
            <w:pPr>
              <w:spacing w:after="0" w:line="240" w:lineRule="auto"/>
              <w:jc w:val="both"/>
              <w:rPr>
                <w:rFonts w:ascii="Cambria" w:hAnsi="Cambria"/>
                <w:b/>
                <w:bCs/>
                <w:color w:val="080808"/>
                <w:sz w:val="20"/>
                <w:szCs w:val="20"/>
                <w:lang w:val="es-CO"/>
              </w:rPr>
            </w:pPr>
            <w:r w:rsidRPr="00C97568">
              <w:rPr>
                <w:rFonts w:ascii="Cambria" w:hAnsi="Cambria"/>
                <w:b/>
                <w:bCs/>
                <w:color w:val="080808"/>
                <w:sz w:val="20"/>
                <w:szCs w:val="20"/>
                <w:lang w:val="es-CO"/>
              </w:rPr>
              <w:t>SEXTA: REPARACIONES PECUNIARIAS</w:t>
            </w:r>
          </w:p>
          <w:p w14:paraId="0688C648" w14:textId="77777777" w:rsidR="00556DB5" w:rsidRPr="00C97568" w:rsidRDefault="00556DB5" w:rsidP="00556DB5">
            <w:pPr>
              <w:spacing w:after="0" w:line="240" w:lineRule="auto"/>
              <w:jc w:val="both"/>
              <w:rPr>
                <w:rFonts w:ascii="Cambria" w:hAnsi="Cambria"/>
                <w:color w:val="080808"/>
                <w:sz w:val="20"/>
                <w:szCs w:val="20"/>
                <w:lang w:val="es-CO"/>
              </w:rPr>
            </w:pPr>
            <w:r w:rsidRPr="00C97568">
              <w:rPr>
                <w:rFonts w:ascii="Cambria" w:hAnsi="Cambria"/>
                <w:color w:val="080808"/>
                <w:sz w:val="20"/>
                <w:szCs w:val="20"/>
                <w:lang w:val="es-CO"/>
              </w:rPr>
              <w:t>A los efectos de garantizar la reparación pecuniaria, el Estado asume el compromiso de:</w:t>
            </w:r>
          </w:p>
          <w:p w14:paraId="482B5AEC" w14:textId="77777777" w:rsidR="00556DB5" w:rsidRPr="00C97568" w:rsidRDefault="00556DB5" w:rsidP="00556DB5">
            <w:pPr>
              <w:spacing w:after="0" w:line="240" w:lineRule="auto"/>
              <w:jc w:val="both"/>
              <w:rPr>
                <w:rFonts w:ascii="Cambria" w:hAnsi="Cambria"/>
                <w:color w:val="080808"/>
                <w:sz w:val="20"/>
                <w:szCs w:val="20"/>
                <w:lang w:val="es-CO"/>
              </w:rPr>
            </w:pPr>
            <w:r w:rsidRPr="00C97568">
              <w:rPr>
                <w:rFonts w:ascii="Cambria" w:hAnsi="Cambria"/>
                <w:color w:val="080808"/>
                <w:sz w:val="20"/>
                <w:szCs w:val="20"/>
                <w:lang w:val="es-CO"/>
              </w:rPr>
              <w:t>a. Pagar la suma de 30.000 U$ (treinta mil dólares americanos) en concepto de indemnización, la que se abonará a la madre de la víctima del caso en el plazo de 1 año desde la suscripción del presente acuerdo.</w:t>
            </w:r>
          </w:p>
          <w:p w14:paraId="46D53129" w14:textId="424BF45D" w:rsidR="00E66C1B" w:rsidRPr="00C97568" w:rsidRDefault="00556DB5" w:rsidP="00556DB5">
            <w:pPr>
              <w:spacing w:after="0" w:line="240" w:lineRule="auto"/>
              <w:jc w:val="both"/>
              <w:rPr>
                <w:rFonts w:ascii="Cambria" w:hAnsi="Cambria"/>
                <w:color w:val="080808"/>
                <w:sz w:val="20"/>
                <w:szCs w:val="20"/>
                <w:lang w:val="es-CO"/>
              </w:rPr>
            </w:pPr>
            <w:r w:rsidRPr="00C97568">
              <w:rPr>
                <w:rFonts w:ascii="Cambria" w:hAnsi="Cambria"/>
                <w:color w:val="080808"/>
                <w:sz w:val="20"/>
                <w:szCs w:val="20"/>
                <w:lang w:val="es-CO"/>
              </w:rPr>
              <w:t>b. Realizar las gestiones tendientes a regularizar, en el plazo de un año, a partir de la firma del presente Acuerdo, la pensión para los familiares de la víctima.</w:t>
            </w:r>
          </w:p>
        </w:tc>
        <w:tc>
          <w:tcPr>
            <w:tcW w:w="1701" w:type="dxa"/>
            <w:tcBorders>
              <w:top w:val="single" w:sz="4" w:space="0" w:color="auto"/>
              <w:left w:val="single" w:sz="4" w:space="0" w:color="auto"/>
              <w:bottom w:val="single" w:sz="4" w:space="0" w:color="auto"/>
              <w:right w:val="single" w:sz="4" w:space="0" w:color="auto"/>
            </w:tcBorders>
            <w:vAlign w:val="center"/>
          </w:tcPr>
          <w:p w14:paraId="7BCBCD14" w14:textId="4F0F5119" w:rsidR="00E66C1B" w:rsidRPr="00C97568" w:rsidRDefault="00556DB5" w:rsidP="00897783">
            <w:pPr>
              <w:spacing w:after="0" w:line="240" w:lineRule="auto"/>
              <w:jc w:val="center"/>
              <w:rPr>
                <w:rFonts w:ascii="Cambria" w:eastAsia="Batang" w:hAnsi="Cambria"/>
                <w:b/>
                <w:color w:val="080808"/>
                <w:sz w:val="20"/>
                <w:szCs w:val="20"/>
                <w:lang w:val="es-CO"/>
              </w:rPr>
            </w:pPr>
            <w:r w:rsidRPr="00C97568">
              <w:rPr>
                <w:rFonts w:ascii="Cambria" w:eastAsia="Batang" w:hAnsi="Cambria"/>
                <w:b/>
                <w:color w:val="080808"/>
                <w:sz w:val="20"/>
                <w:szCs w:val="20"/>
                <w:lang w:val="es-CO"/>
              </w:rPr>
              <w:t>Total</w:t>
            </w:r>
            <w:r w:rsidRPr="00C97568">
              <w:rPr>
                <w:rFonts w:ascii="Cambria" w:eastAsia="Batang" w:hAnsi="Cambria"/>
                <w:b/>
                <w:color w:val="080808"/>
                <w:sz w:val="20"/>
                <w:szCs w:val="20"/>
                <w:vertAlign w:val="superscript"/>
                <w:lang w:val="es-CO"/>
              </w:rPr>
              <w:footnoteReference w:id="5"/>
            </w:r>
          </w:p>
        </w:tc>
      </w:tr>
    </w:tbl>
    <w:p w14:paraId="4E918129" w14:textId="0F8C708E" w:rsidR="00556DB5" w:rsidRDefault="00556DB5" w:rsidP="000F6AC8">
      <w:pPr>
        <w:autoSpaceDE w:val="0"/>
        <w:autoSpaceDN w:val="0"/>
        <w:adjustRightInd w:val="0"/>
        <w:spacing w:after="0" w:line="240" w:lineRule="auto"/>
        <w:ind w:left="720"/>
        <w:jc w:val="both"/>
        <w:rPr>
          <w:rFonts w:ascii="Cambria" w:eastAsia="Batang" w:hAnsi="Cambria" w:cs="Calibri Light"/>
          <w:b/>
          <w:color w:val="080808"/>
          <w:lang w:val="es-CO"/>
        </w:rPr>
      </w:pPr>
    </w:p>
    <w:p w14:paraId="0F7D1CEB" w14:textId="6A72BB8A" w:rsidR="003B3362" w:rsidRPr="0009182C"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DCB2BAD" w14:textId="77777777" w:rsidR="003B3362" w:rsidRPr="0009182C" w:rsidRDefault="003B3362" w:rsidP="003B3362">
      <w:pPr>
        <w:spacing w:after="0" w:line="240" w:lineRule="auto"/>
        <w:ind w:firstLine="720"/>
        <w:jc w:val="both"/>
        <w:rPr>
          <w:rFonts w:ascii="Cambria" w:eastAsia="Batang" w:hAnsi="Cambria" w:cs="Calibri Light"/>
          <w:color w:val="080808"/>
          <w:lang w:val="es-CO"/>
        </w:rPr>
      </w:pPr>
    </w:p>
    <w:p w14:paraId="0657708E" w14:textId="3B6FE67D" w:rsidR="00556DB5" w:rsidRDefault="003B3362" w:rsidP="004779B9">
      <w:pPr>
        <w:pStyle w:val="ListParagraph"/>
        <w:numPr>
          <w:ilvl w:val="0"/>
          <w:numId w:val="41"/>
        </w:numPr>
        <w:spacing w:after="0" w:line="240" w:lineRule="auto"/>
        <w:ind w:left="0" w:firstLine="720"/>
        <w:jc w:val="both"/>
        <w:rPr>
          <w:rFonts w:ascii="Cambria" w:hAnsi="Cambria"/>
          <w:color w:val="080808"/>
          <w:sz w:val="20"/>
          <w:szCs w:val="20"/>
          <w:lang w:val="es-CO"/>
        </w:rPr>
      </w:pPr>
      <w:r w:rsidRPr="00C97568">
        <w:rPr>
          <w:rFonts w:ascii="Cambria" w:hAnsi="Cambria"/>
          <w:color w:val="080808"/>
          <w:sz w:val="20"/>
          <w:szCs w:val="20"/>
          <w:lang w:val="es-CO"/>
        </w:rPr>
        <w:t>La Comisión declaró el cumplimiento total del asunto y el cese del seguimiento del acuerdo de solución amistosa en el Informe Anual de 202</w:t>
      </w:r>
      <w:r w:rsidR="000F6AC8" w:rsidRPr="00C97568">
        <w:rPr>
          <w:rFonts w:ascii="Cambria" w:hAnsi="Cambria"/>
          <w:color w:val="080808"/>
          <w:sz w:val="20"/>
          <w:szCs w:val="20"/>
          <w:lang w:val="es-CO"/>
        </w:rPr>
        <w:t>3</w:t>
      </w:r>
      <w:r w:rsidRPr="00C97568">
        <w:rPr>
          <w:rFonts w:ascii="Cambria" w:hAnsi="Cambria"/>
          <w:color w:val="080808"/>
          <w:sz w:val="20"/>
          <w:szCs w:val="20"/>
          <w:lang w:val="es-CO"/>
        </w:rPr>
        <w:t>.</w:t>
      </w:r>
    </w:p>
    <w:p w14:paraId="6E4AF587" w14:textId="77777777" w:rsidR="004779B9" w:rsidRPr="00C97568" w:rsidRDefault="004779B9" w:rsidP="00C97568">
      <w:pPr>
        <w:pStyle w:val="ListParagraph"/>
        <w:spacing w:after="0" w:line="240" w:lineRule="auto"/>
        <w:jc w:val="both"/>
        <w:rPr>
          <w:rFonts w:ascii="Cambria" w:hAnsi="Cambria"/>
          <w:color w:val="080808"/>
          <w:sz w:val="20"/>
          <w:szCs w:val="20"/>
          <w:lang w:val="es-CO"/>
        </w:rPr>
      </w:pPr>
    </w:p>
    <w:p w14:paraId="1AB84E36"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2B9D2571" w14:textId="77777777" w:rsidR="003B3362" w:rsidRPr="0009182C" w:rsidRDefault="003B3362" w:rsidP="003B3362">
      <w:pPr>
        <w:spacing w:after="0" w:line="240" w:lineRule="auto"/>
        <w:ind w:firstLine="720"/>
        <w:contextualSpacing/>
        <w:jc w:val="both"/>
        <w:rPr>
          <w:rFonts w:ascii="Cambria" w:eastAsia="Batang" w:hAnsi="Cambria" w:cs="Calibri Light"/>
          <w:b/>
          <w:color w:val="080808"/>
          <w:lang w:val="es-CO"/>
        </w:rPr>
      </w:pPr>
    </w:p>
    <w:p w14:paraId="46B21FE4" w14:textId="77777777" w:rsidR="003B3362" w:rsidRPr="00C97568" w:rsidRDefault="003B3362" w:rsidP="005A1DFD">
      <w:pPr>
        <w:numPr>
          <w:ilvl w:val="1"/>
          <w:numId w:val="37"/>
        </w:numPr>
        <w:spacing w:after="0" w:line="240" w:lineRule="auto"/>
        <w:ind w:left="1560" w:hanging="840"/>
        <w:contextualSpacing/>
        <w:jc w:val="both"/>
        <w:rPr>
          <w:rFonts w:ascii="Cambria" w:eastAsia="Batang" w:hAnsi="Cambria" w:cs="Calibri Light"/>
          <w:b/>
          <w:color w:val="080808"/>
          <w:sz w:val="20"/>
          <w:szCs w:val="20"/>
          <w:lang w:val="es-CO"/>
        </w:rPr>
      </w:pPr>
      <w:r w:rsidRPr="00C97568">
        <w:rPr>
          <w:rFonts w:ascii="Cambria" w:eastAsia="Batang" w:hAnsi="Cambria" w:cs="Calibri Light"/>
          <w:b/>
          <w:color w:val="080808"/>
          <w:sz w:val="20"/>
          <w:szCs w:val="20"/>
          <w:lang w:val="es-CO"/>
        </w:rPr>
        <w:t>Resultados individuales del caso</w:t>
      </w:r>
    </w:p>
    <w:p w14:paraId="3A7E3E60" w14:textId="77777777" w:rsidR="003B3362" w:rsidRPr="00C97568" w:rsidRDefault="003B3362" w:rsidP="005A1DFD">
      <w:pPr>
        <w:spacing w:after="0" w:line="240" w:lineRule="auto"/>
        <w:ind w:left="1560" w:hanging="840"/>
        <w:contextualSpacing/>
        <w:jc w:val="both"/>
        <w:rPr>
          <w:rFonts w:ascii="Cambria" w:eastAsia="Batang" w:hAnsi="Cambria" w:cs="Calibri Light"/>
          <w:b/>
          <w:color w:val="080808"/>
          <w:sz w:val="20"/>
          <w:szCs w:val="20"/>
          <w:lang w:val="es-CO"/>
        </w:rPr>
      </w:pPr>
    </w:p>
    <w:p w14:paraId="41A0EB54"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t xml:space="preserve">El Estado realizó el reconocimiento de la responsabilidad internacional del Estado Paraguayo, por la violación de los derechos a la integridad personal, a la vida e integridad personal, al derecho a no ser sometido a esclavitud y servidumbre, el derecho a la libertad personal, al derecho a las garantías judiciales, los derechos del niño y las garantías de protección judicial establecidos en los artículos  4, 5, 6, 7, 8, 19 y 25 de la Convención Americana, en perjuicio del niño Pedro Antonio Centurión. </w:t>
      </w:r>
    </w:p>
    <w:p w14:paraId="5570D772"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t>El 29 de octubre de 2018, el Estado paraguayo asignó un lote a la señora Semproniana Centurión dentro del programa TEKOHA, ubicado en el Departamento Central.</w:t>
      </w:r>
    </w:p>
    <w:p w14:paraId="650619C3"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t>El 19 de octubre de 2011, se llevó a cabo un acto en sede del Ministerio de Relaciones Exteriores, para efectuar las disculpas públicas y reconocimiento de responsabilidad. Asimismo, el mismo fue difundido en la Radio Nacional de Paraguay y otros medios de comunicación, incluyendo el Diario Última Hora.</w:t>
      </w:r>
    </w:p>
    <w:p w14:paraId="36173684"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t>El 25 de mayo de 2012, se realizó el acto de descubrimiento de placa en el Destacamento Militar Vista Alegre e inauguración de un monolito conmemorativo.</w:t>
      </w:r>
    </w:p>
    <w:p w14:paraId="33933647"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t>Mediante la Ordenanza Municipal N° 26, del 3 de julio de 2012 de la Junta Municipal de Luque, se ordenó la nominación de la arteria de la calle Karandayty en dirección Sur-Norte y continúa en toda su extensión, de 12° Cñia. Loma Merlo de la jurisdicción de Luque, con el nombre de “Soldado Pedro Antonio Centurión”.</w:t>
      </w:r>
    </w:p>
    <w:p w14:paraId="319610D8"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b/>
          <w:color w:val="080808"/>
          <w:sz w:val="20"/>
          <w:szCs w:val="20"/>
          <w:lang w:val="es-CO"/>
        </w:rPr>
      </w:pPr>
      <w:r w:rsidRPr="00C97568">
        <w:rPr>
          <w:rFonts w:ascii="Cambria" w:eastAsia="Batang" w:hAnsi="Cambria" w:cs="Calibri Light"/>
          <w:color w:val="080808"/>
          <w:sz w:val="20"/>
          <w:szCs w:val="20"/>
          <w:lang w:val="es-CO"/>
        </w:rPr>
        <w:t>El Ministerio de Salud Pública y Bienestar Social, a través de la Unidad de Salud de la Familia, dependiente de la Dirección General de Atención Primera de Salud, brindó atención médica a los beneficiarios de forma periódica, tanto en su sede como en el domicilio de los mismos.</w:t>
      </w:r>
    </w:p>
    <w:p w14:paraId="6510FA25"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t xml:space="preserve">El 23 de julio de 2019, el Estado celebró acto formal, con presencia del Presidente de la Republica y el Ministro de Urbanismo, Vivienda y Hábitat para la firma del contrato de adjudicación del inmueble a favor de la madre de la víctima. </w:t>
      </w:r>
    </w:p>
    <w:p w14:paraId="575948D0"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lastRenderedPageBreak/>
        <w:t>El 5 de agosto de 2019, el Estado hizo entrega formal de la vivienda a la señora Semproniana Centurión según lo acordado y dispuesto por los peticionarios.</w:t>
      </w:r>
    </w:p>
    <w:p w14:paraId="174B3892" w14:textId="77777777" w:rsidR="00556DB5"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C97568">
        <w:rPr>
          <w:rFonts w:ascii="Cambria" w:eastAsia="Batang" w:hAnsi="Cambria" w:cs="Calibri Light"/>
          <w:color w:val="080808"/>
          <w:sz w:val="20"/>
          <w:szCs w:val="20"/>
          <w:lang w:val="es-CO"/>
        </w:rPr>
        <w:t>El 6 de octubre de 2022, el Estado confirmó la inscripción en los registros públicos tramitado ante la Dirección General de los Registros Públicos del terreno</w:t>
      </w:r>
      <w:r w:rsidRPr="00C97568">
        <w:rPr>
          <w:rFonts w:ascii="Cambria" w:eastAsia="Batang" w:hAnsi="Cambria" w:cs="Calibri Light"/>
          <w:bCs/>
          <w:color w:val="080808"/>
          <w:sz w:val="20"/>
          <w:szCs w:val="20"/>
          <w:lang w:val="es-CO"/>
        </w:rPr>
        <w:t xml:space="preserve"> ubicado en la Compañía 8 Tarumandy del distrito de Luque, a favor </w:t>
      </w:r>
      <w:r w:rsidRPr="00C97568">
        <w:rPr>
          <w:rFonts w:ascii="Cambria" w:eastAsia="Batang" w:hAnsi="Cambria" w:cs="Calibri Light"/>
          <w:color w:val="080808"/>
          <w:sz w:val="20"/>
          <w:szCs w:val="20"/>
          <w:lang w:val="es-CO"/>
        </w:rPr>
        <w:t>de la señora Semproniana Centurión.</w:t>
      </w:r>
    </w:p>
    <w:p w14:paraId="5E2CE4CA" w14:textId="3BC5E6D2" w:rsidR="003B3362" w:rsidRPr="00C97568" w:rsidRDefault="00556DB5" w:rsidP="00556DB5">
      <w:pPr>
        <w:numPr>
          <w:ilvl w:val="0"/>
          <w:numId w:val="16"/>
        </w:numPr>
        <w:tabs>
          <w:tab w:val="left" w:pos="0"/>
        </w:tabs>
        <w:spacing w:after="0" w:line="240" w:lineRule="auto"/>
        <w:ind w:left="1418" w:hanging="698"/>
        <w:contextualSpacing/>
        <w:jc w:val="both"/>
        <w:rPr>
          <w:rFonts w:ascii="Cambria" w:eastAsia="Batang" w:hAnsi="Cambria"/>
          <w:b/>
          <w:color w:val="000000"/>
          <w:sz w:val="20"/>
          <w:szCs w:val="20"/>
          <w:lang w:val="es-CO"/>
        </w:rPr>
      </w:pPr>
      <w:r w:rsidRPr="00C97568">
        <w:rPr>
          <w:rFonts w:ascii="Cambria" w:eastAsia="Batang" w:hAnsi="Cambria" w:cs="Calibri Light"/>
          <w:bCs/>
          <w:color w:val="080808"/>
          <w:sz w:val="20"/>
          <w:szCs w:val="20"/>
          <w:lang w:val="es-CO"/>
        </w:rPr>
        <w:t xml:space="preserve">El </w:t>
      </w:r>
      <w:r w:rsidRPr="00C97568">
        <w:rPr>
          <w:rFonts w:ascii="Cambria" w:eastAsia="Batang" w:hAnsi="Cambria" w:cs="Calibri Light"/>
          <w:color w:val="080808"/>
          <w:sz w:val="20"/>
          <w:szCs w:val="20"/>
          <w:lang w:val="es-CO"/>
        </w:rPr>
        <w:t xml:space="preserve">Estado </w:t>
      </w:r>
      <w:r w:rsidRPr="00C97568">
        <w:rPr>
          <w:rFonts w:ascii="Cambria" w:eastAsia="Batang" w:hAnsi="Cambria" w:cs="Calibri Light"/>
          <w:bCs/>
          <w:color w:val="080808"/>
          <w:sz w:val="20"/>
          <w:szCs w:val="20"/>
          <w:lang w:val="es-CO"/>
        </w:rPr>
        <w:t xml:space="preserve">realizó la inscripción. ante la Dirección General de Registros Públicos, de la propiedad que transfirió a nombre de la señora </w:t>
      </w:r>
      <w:r w:rsidRPr="00C97568">
        <w:rPr>
          <w:rFonts w:ascii="Cambria" w:eastAsia="Batang" w:hAnsi="Cambria" w:cs="Calibri Light"/>
          <w:color w:val="080808"/>
          <w:sz w:val="20"/>
          <w:szCs w:val="20"/>
          <w:lang w:val="es-CO"/>
        </w:rPr>
        <w:t xml:space="preserve">Semproniana </w:t>
      </w:r>
      <w:r w:rsidRPr="00C97568">
        <w:rPr>
          <w:rFonts w:ascii="Cambria" w:eastAsia="Batang" w:hAnsi="Cambria" w:cs="Calibri Light"/>
          <w:bCs/>
          <w:color w:val="080808"/>
          <w:sz w:val="20"/>
          <w:szCs w:val="20"/>
          <w:lang w:val="es-CO"/>
        </w:rPr>
        <w:t>Centurión</w:t>
      </w:r>
    </w:p>
    <w:sectPr w:rsidR="003B3362" w:rsidRPr="00C97568" w:rsidSect="001E0DD0">
      <w:head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82AA" w14:textId="77777777" w:rsidR="003A08C7" w:rsidRDefault="003A08C7" w:rsidP="00A343FF">
      <w:pPr>
        <w:spacing w:after="0" w:line="240" w:lineRule="auto"/>
      </w:pPr>
      <w:r>
        <w:separator/>
      </w:r>
    </w:p>
  </w:endnote>
  <w:endnote w:type="continuationSeparator" w:id="0">
    <w:p w14:paraId="659356B4" w14:textId="77777777" w:rsidR="003A08C7" w:rsidRDefault="003A08C7"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53B" w14:textId="77777777" w:rsidR="0016622B" w:rsidRDefault="00812D3D" w:rsidP="0016622B">
    <w:pPr>
      <w:pStyle w:val="Footer"/>
      <w:spacing w:line="360" w:lineRule="auto"/>
      <w:jc w:val="right"/>
    </w:pPr>
    <w:bookmarkStart w:id="52" w:name="_Hlk129090884"/>
    <w:bookmarkStart w:id="53" w:name="_Hlk129090885"/>
    <w:bookmarkStart w:id="54" w:name="_Hlk129091044"/>
    <w:bookmarkStart w:id="55" w:name="_Hlk129091045"/>
    <w:bookmarkStart w:id="56" w:name="_Hlk129091049"/>
    <w:bookmarkStart w:id="57" w:name="_Hlk129091050"/>
    <w:bookmarkStart w:id="58" w:name="_Hlk129091188"/>
    <w:bookmarkStart w:id="59" w:name="_Hlk129091189"/>
    <w:bookmarkStart w:id="60" w:name="_Hlk129091982"/>
    <w:bookmarkStart w:id="61" w:name="_Hlk129091983"/>
    <w:bookmarkStart w:id="62" w:name="_Hlk129092109"/>
    <w:bookmarkStart w:id="63" w:name="_Hlk129092110"/>
    <w:bookmarkStart w:id="64" w:name="_Hlk129092206"/>
    <w:bookmarkStart w:id="65" w:name="_Hlk129092207"/>
    <w:bookmarkStart w:id="66" w:name="_Hlk129092304"/>
    <w:bookmarkStart w:id="67" w:name="_Hlk129092305"/>
    <w:bookmarkStart w:id="68" w:name="_Hlk129092365"/>
    <w:bookmarkStart w:id="69" w:name="_Hlk129092366"/>
    <w:bookmarkStart w:id="70" w:name="_Hlk129092414"/>
    <w:bookmarkStart w:id="71" w:name="_Hlk129092415"/>
    <w:bookmarkStart w:id="72" w:name="_Hlk129092467"/>
    <w:bookmarkStart w:id="73" w:name="_Hlk129092468"/>
    <w:r>
      <w:rPr>
        <w:noProof/>
      </w:rPr>
      <w:pict w14:anchorId="760A5482">
        <v:rect id="_x0000_i1027" alt="" style="width:441.9pt;height:.05pt;mso-width-percent:0;mso-height-percent:0;mso-width-percent:0;mso-height-percent:0" o:hralign="center" o:hrstd="t" o:hr="t" fillcolor="#a0a0a0" stroked="f"/>
      </w:pict>
    </w:r>
  </w:p>
  <w:p w14:paraId="0E844130" w14:textId="21A68A80" w:rsidR="0016622B" w:rsidRDefault="0016622B" w:rsidP="0016622B">
    <w:pPr>
      <w:pStyle w:val="Footer"/>
      <w:jc w:val="center"/>
    </w:pPr>
    <w:r w:rsidRPr="008A5CB5">
      <w:rPr>
        <w:noProof/>
      </w:rPr>
      <w:drawing>
        <wp:inline distT="0" distB="0" distL="0" distR="0" wp14:anchorId="0558EA3A" wp14:editId="66FD6207">
          <wp:extent cx="5117465" cy="324485"/>
          <wp:effectExtent l="0" t="0" r="6985" b="0"/>
          <wp:docPr id="1451304620" name="Picture 1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C728E51" w14:textId="77777777" w:rsidR="00986996" w:rsidRDefault="0098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08C0" w14:textId="77777777" w:rsidR="003A08C7" w:rsidRDefault="003A08C7" w:rsidP="00A343FF">
      <w:pPr>
        <w:spacing w:after="0" w:line="240" w:lineRule="auto"/>
      </w:pPr>
      <w:r>
        <w:separator/>
      </w:r>
    </w:p>
  </w:footnote>
  <w:footnote w:type="continuationSeparator" w:id="0">
    <w:p w14:paraId="3FE629B0" w14:textId="77777777" w:rsidR="003A08C7" w:rsidRDefault="003A08C7" w:rsidP="00A343FF">
      <w:pPr>
        <w:spacing w:after="0" w:line="240" w:lineRule="auto"/>
      </w:pPr>
      <w:r>
        <w:continuationSeparator/>
      </w:r>
    </w:p>
  </w:footnote>
  <w:footnote w:id="1">
    <w:p w14:paraId="0CBE5200" w14:textId="77777777" w:rsidR="0060428A" w:rsidRPr="00F80812" w:rsidRDefault="0060428A" w:rsidP="00BC42A3">
      <w:pPr>
        <w:pStyle w:val="FootnoteText"/>
        <w:spacing w:after="0" w:line="240" w:lineRule="auto"/>
        <w:ind w:firstLine="709"/>
        <w:jc w:val="both"/>
        <w:rPr>
          <w:rFonts w:ascii="Cambria" w:hAnsi="Cambria"/>
          <w:sz w:val="16"/>
          <w:szCs w:val="16"/>
          <w:lang w:val="es-ES_tradnl"/>
        </w:rPr>
      </w:pPr>
      <w:r w:rsidRPr="00C97568">
        <w:rPr>
          <w:rStyle w:val="FootnoteReference"/>
          <w:rFonts w:ascii="Cambria" w:hAnsi="Cambria"/>
          <w:sz w:val="16"/>
          <w:szCs w:val="16"/>
          <w:lang w:val="es-ES_tradnl"/>
        </w:rPr>
        <w:footnoteRef/>
      </w:r>
      <w:r w:rsidRPr="00C97568">
        <w:rPr>
          <w:rFonts w:ascii="Cambria" w:hAnsi="Cambria"/>
          <w:sz w:val="16"/>
          <w:szCs w:val="16"/>
          <w:lang w:val="es-ES_tradnl"/>
        </w:rPr>
        <w:t xml:space="preserve"> CIDH, Informe No. 130/18, Caso 12.699. Solución Amistosa. Pedro Antonio Centurión, Paraguay. 20 de noviembre de 2018. Disponible en http://www.oas.org/es/cidh/decisiones/2018/PYSA12699ES.pdf</w:t>
      </w:r>
    </w:p>
  </w:footnote>
  <w:footnote w:id="2">
    <w:p w14:paraId="644B58EB" w14:textId="05974269" w:rsidR="00897783" w:rsidRPr="00556DB5" w:rsidRDefault="00897783" w:rsidP="00556DB5">
      <w:pPr>
        <w:pStyle w:val="FootnoteText"/>
        <w:spacing w:after="0" w:line="240" w:lineRule="auto"/>
        <w:ind w:firstLine="709"/>
        <w:jc w:val="both"/>
        <w:rPr>
          <w:rFonts w:ascii="Cambria" w:hAnsi="Cambria"/>
          <w:color w:val="000000"/>
          <w:sz w:val="16"/>
          <w:szCs w:val="16"/>
          <w:highlight w:val="yellow"/>
          <w:lang w:val="es-VE"/>
        </w:rPr>
      </w:pPr>
      <w:r w:rsidRPr="00C97568">
        <w:rPr>
          <w:rStyle w:val="FootnoteReference"/>
          <w:rFonts w:ascii="Cambria" w:hAnsi="Cambria"/>
          <w:color w:val="000000"/>
          <w:sz w:val="16"/>
          <w:szCs w:val="16"/>
        </w:rPr>
        <w:footnoteRef/>
      </w:r>
      <w:r w:rsidRPr="00C97568">
        <w:rPr>
          <w:rFonts w:ascii="Cambria" w:hAnsi="Cambria"/>
          <w:color w:val="000000"/>
          <w:sz w:val="16"/>
          <w:szCs w:val="16"/>
          <w:lang w:val="es-VE"/>
        </w:rPr>
        <w:t xml:space="preserve"> </w:t>
      </w:r>
      <w:r w:rsidR="00F80812" w:rsidRPr="00F80812">
        <w:rPr>
          <w:rFonts w:ascii="Cambria" w:hAnsi="Cambria"/>
          <w:color w:val="000000" w:themeColor="text1"/>
          <w:sz w:val="16"/>
          <w:szCs w:val="16"/>
          <w:lang w:val="es-US"/>
        </w:rPr>
        <w:t xml:space="preserve">CIDH, </w:t>
      </w:r>
      <w:r w:rsidR="00F80812" w:rsidRPr="00F80812">
        <w:rPr>
          <w:rFonts w:ascii="Cambria" w:hAnsi="Cambria"/>
          <w:i/>
          <w:iCs/>
          <w:color w:val="000000" w:themeColor="text1"/>
          <w:sz w:val="16"/>
          <w:szCs w:val="16"/>
          <w:lang w:val="es-US"/>
        </w:rPr>
        <w:t>Informe</w:t>
      </w:r>
      <w:r w:rsidR="00F80812" w:rsidRPr="00731432">
        <w:rPr>
          <w:rFonts w:ascii="Cambria" w:hAnsi="Cambria"/>
          <w:i/>
          <w:iCs/>
          <w:color w:val="000000" w:themeColor="text1"/>
          <w:sz w:val="16"/>
          <w:szCs w:val="16"/>
          <w:lang w:val="es-US"/>
        </w:rPr>
        <w:t xml:space="preserve"> Anual 2023</w:t>
      </w:r>
      <w:r w:rsidR="00F80812" w:rsidRPr="00731432">
        <w:rPr>
          <w:rFonts w:ascii="Cambria" w:hAnsi="Cambria"/>
          <w:color w:val="000000" w:themeColor="text1"/>
          <w:sz w:val="16"/>
          <w:szCs w:val="16"/>
          <w:lang w:val="es-US"/>
        </w:rPr>
        <w:t xml:space="preserve">, Capítulo II, </w:t>
      </w:r>
      <w:r w:rsidR="00F80812" w:rsidRPr="00731432">
        <w:rPr>
          <w:rFonts w:ascii="Cambria" w:hAnsi="Cambria"/>
          <w:sz w:val="16"/>
          <w:szCs w:val="16"/>
          <w:lang w:val="es-US"/>
        </w:rPr>
        <w:t xml:space="preserve">Sección C. Avances </w:t>
      </w:r>
      <w:r w:rsidR="00F80812" w:rsidRPr="00731432">
        <w:rPr>
          <w:rFonts w:ascii="Cambria" w:hAnsi="Cambria"/>
          <w:color w:val="000000" w:themeColor="text1"/>
          <w:sz w:val="16"/>
          <w:szCs w:val="16"/>
          <w:lang w:val="es-US"/>
        </w:rPr>
        <w:t xml:space="preserve">y retrocesos en materia de </w:t>
      </w:r>
      <w:r w:rsidR="00F80812" w:rsidRPr="00731432">
        <w:rPr>
          <w:rFonts w:ascii="Cambria" w:hAnsi="Cambria"/>
          <w:color w:val="000000" w:themeColor="text1"/>
          <w:sz w:val="16"/>
          <w:szCs w:val="16"/>
          <w:lang w:val="es-ES"/>
        </w:rPr>
        <w:t xml:space="preserve">negociación e implementación de acuerdos de solución amistosa. </w:t>
      </w:r>
      <w:r w:rsidR="00F80812" w:rsidRPr="00731432">
        <w:rPr>
          <w:rFonts w:ascii="Cambria" w:hAnsi="Cambria"/>
          <w:color w:val="000000" w:themeColor="text1"/>
          <w:sz w:val="16"/>
          <w:szCs w:val="16"/>
          <w:lang w:val="es-CO"/>
        </w:rPr>
        <w:t>Disponible en</w:t>
      </w:r>
      <w:r w:rsidR="00F80812" w:rsidRPr="00731432">
        <w:rPr>
          <w:rFonts w:ascii="Cambria" w:hAnsi="Cambria"/>
          <w:sz w:val="16"/>
          <w:szCs w:val="16"/>
          <w:lang w:val="es-ES"/>
        </w:rPr>
        <w:t xml:space="preserve">: </w:t>
      </w:r>
      <w:hyperlink r:id="rId1" w:history="1">
        <w:r w:rsidR="00F80812" w:rsidRPr="00731432">
          <w:rPr>
            <w:rStyle w:val="Hyperlink"/>
            <w:rFonts w:ascii="Cambria" w:hAnsi="Cambria"/>
            <w:sz w:val="16"/>
            <w:szCs w:val="16"/>
            <w:lang w:val="es-ES"/>
          </w:rPr>
          <w:t>https://www.oas.org/es/cidh/docs/anual/2023/capitulos/IA2023_Cap_2_SPA.PDF</w:t>
        </w:r>
      </w:hyperlink>
    </w:p>
  </w:footnote>
  <w:footnote w:id="3">
    <w:p w14:paraId="3F365F32" w14:textId="77777777" w:rsidR="00556DB5" w:rsidRPr="00C97568" w:rsidRDefault="00556DB5" w:rsidP="00556DB5">
      <w:pPr>
        <w:pStyle w:val="FootnoteText"/>
        <w:spacing w:after="0" w:line="240" w:lineRule="auto"/>
        <w:ind w:firstLine="709"/>
        <w:jc w:val="both"/>
        <w:rPr>
          <w:rFonts w:ascii="Cambria" w:hAnsi="Cambria"/>
          <w:sz w:val="16"/>
          <w:szCs w:val="16"/>
          <w:lang w:val="es-ES_tradnl"/>
        </w:rPr>
      </w:pPr>
      <w:r w:rsidRPr="00C97568">
        <w:rPr>
          <w:rStyle w:val="FootnoteReference"/>
          <w:rFonts w:ascii="Cambria" w:hAnsi="Cambria"/>
          <w:sz w:val="16"/>
          <w:szCs w:val="16"/>
          <w:lang w:val="es-ES_tradnl"/>
        </w:rPr>
        <w:footnoteRef/>
      </w:r>
      <w:r w:rsidRPr="00C97568">
        <w:rPr>
          <w:rFonts w:ascii="Cambria" w:hAnsi="Cambria"/>
          <w:sz w:val="16"/>
          <w:szCs w:val="16"/>
          <w:lang w:val="es-ES_tradnl"/>
        </w:rPr>
        <w:t xml:space="preserve"> CIDH, Informe No. 130/18,  Caso 12.699. Solución Amistosa. Pedro Antonio Centurión, Paraguay. 20 de  noviembre  de 2018. Disponible en http://www.oas.org/es/cidh/decisiones/2018/PYSA12699ES.pdf</w:t>
      </w:r>
    </w:p>
  </w:footnote>
  <w:footnote w:id="4">
    <w:p w14:paraId="30AC61A8" w14:textId="77777777" w:rsidR="00556DB5" w:rsidRPr="00556DB5" w:rsidRDefault="00556DB5" w:rsidP="00556DB5">
      <w:pPr>
        <w:pStyle w:val="FootnoteText"/>
        <w:spacing w:after="0" w:line="240" w:lineRule="auto"/>
        <w:ind w:firstLine="709"/>
        <w:jc w:val="both"/>
        <w:rPr>
          <w:rFonts w:ascii="Cambria" w:hAnsi="Cambria"/>
          <w:sz w:val="16"/>
          <w:szCs w:val="16"/>
          <w:highlight w:val="yellow"/>
          <w:lang w:val="es-ES_tradnl"/>
        </w:rPr>
      </w:pPr>
      <w:r w:rsidRPr="00C97568">
        <w:rPr>
          <w:rStyle w:val="FootnoteReference"/>
          <w:rFonts w:ascii="Cambria" w:hAnsi="Cambria"/>
          <w:sz w:val="16"/>
          <w:szCs w:val="16"/>
          <w:lang w:val="es-ES_tradnl"/>
        </w:rPr>
        <w:footnoteRef/>
      </w:r>
      <w:r w:rsidRPr="00C97568">
        <w:rPr>
          <w:rFonts w:ascii="Cambria" w:hAnsi="Cambria"/>
          <w:sz w:val="16"/>
          <w:szCs w:val="16"/>
          <w:lang w:val="es-ES_tradnl"/>
        </w:rPr>
        <w:t xml:space="preserve"> CIDH, Informe No. 130/18,  Caso 12.699. Solución Amistosa. Pedro Antonio Centurión, Paraguay. 20 de  noviembre  de 2018. Disponible en http://www.oas.org/es/cidh/decisiones/2018/PYSA12699ES.pdf</w:t>
      </w:r>
    </w:p>
  </w:footnote>
  <w:footnote w:id="5">
    <w:p w14:paraId="19A6FB6F" w14:textId="77777777" w:rsidR="00556DB5" w:rsidRPr="009F3FC2" w:rsidRDefault="00556DB5" w:rsidP="00556DB5">
      <w:pPr>
        <w:pStyle w:val="FootnoteText"/>
        <w:spacing w:after="0" w:line="240" w:lineRule="auto"/>
        <w:ind w:firstLine="709"/>
        <w:jc w:val="both"/>
        <w:rPr>
          <w:szCs w:val="16"/>
          <w:lang w:val="es-ES_tradnl"/>
        </w:rPr>
      </w:pPr>
      <w:r w:rsidRPr="00C97568">
        <w:rPr>
          <w:rStyle w:val="FootnoteReference"/>
          <w:rFonts w:ascii="Cambria" w:hAnsi="Cambria"/>
          <w:sz w:val="16"/>
          <w:szCs w:val="16"/>
          <w:lang w:val="es-ES_tradnl"/>
        </w:rPr>
        <w:footnoteRef/>
      </w:r>
      <w:r w:rsidRPr="00C97568">
        <w:rPr>
          <w:rFonts w:ascii="Cambria" w:hAnsi="Cambria"/>
          <w:sz w:val="16"/>
          <w:szCs w:val="16"/>
          <w:lang w:val="es-ES_tradnl"/>
        </w:rPr>
        <w:t xml:space="preserve"> CIDH, Informe No. 130/18, Caso 12.699. Solución Amistosa. Pedro Antonio Centurión, Paraguay, 20 de noviembre de 2018. Disponible en http://www.oas.org/es/cidh/decisiones/2018/PYSA12699ES.pdf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161" w14:textId="2A994F7F" w:rsidR="00786A91" w:rsidRPr="0058688A" w:rsidRDefault="00786A91" w:rsidP="00786A91">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bookmarkStart w:id="26" w:name="_Hlk129092063"/>
    <w:bookmarkStart w:id="27" w:name="_Hlk129092064"/>
    <w:r>
      <w:rPr>
        <w:noProof/>
        <w:lang w:val="es-ES_tradnl"/>
      </w:rPr>
      <w:drawing>
        <wp:inline distT="0" distB="0" distL="0" distR="0" wp14:anchorId="2DE3BD4C" wp14:editId="34D3560F">
          <wp:extent cx="2286000" cy="118110"/>
          <wp:effectExtent l="0" t="0" r="0" b="0"/>
          <wp:docPr id="4603050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106FE7C3" w14:textId="77777777" w:rsidR="00786A91" w:rsidRDefault="00812D3D" w:rsidP="00786A91">
    <w:pPr>
      <w:pStyle w:val="Header"/>
    </w:pPr>
    <w:r>
      <w:rPr>
        <w:noProof/>
      </w:rPr>
      <w:pict w14:anchorId="14E1C735">
        <v:rect id="_x0000_i1025" alt="" style="width:441.9pt;height:.05pt;mso-width-percent:0;mso-height-percent:0;mso-width-percent:0;mso-height-percent:0"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6ED8EE" w14:textId="77777777" w:rsidR="00986996" w:rsidRDefault="0098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F28" w14:textId="6FF52866" w:rsidR="00986996" w:rsidRDefault="00986996" w:rsidP="00986996">
    <w:pPr>
      <w:pStyle w:val="Header"/>
    </w:pPr>
    <w:bookmarkStart w:id="28" w:name="_Hlk129090378"/>
    <w:bookmarkStart w:id="29" w:name="_Hlk129090379"/>
    <w:bookmarkStart w:id="30" w:name="_Hlk129090860"/>
    <w:bookmarkStart w:id="31" w:name="_Hlk129090861"/>
    <w:bookmarkStart w:id="32" w:name="_Hlk129091020"/>
    <w:bookmarkStart w:id="33" w:name="_Hlk129091021"/>
    <w:bookmarkStart w:id="34" w:name="_Hlk129091166"/>
    <w:bookmarkStart w:id="35" w:name="_Hlk129091167"/>
    <w:bookmarkStart w:id="36" w:name="_Hlk129091892"/>
    <w:bookmarkStart w:id="37" w:name="_Hlk129091893"/>
    <w:bookmarkStart w:id="38" w:name="_Hlk129091899"/>
    <w:bookmarkStart w:id="39" w:name="_Hlk129091900"/>
    <w:bookmarkStart w:id="40" w:name="_Hlk129091905"/>
    <w:bookmarkStart w:id="41" w:name="_Hlk129091906"/>
    <w:bookmarkStart w:id="42" w:name="_Hlk129091911"/>
    <w:bookmarkStart w:id="43" w:name="_Hlk129091912"/>
    <w:bookmarkStart w:id="44" w:name="_Hlk129091916"/>
    <w:bookmarkStart w:id="45" w:name="_Hlk129091917"/>
    <w:bookmarkStart w:id="46" w:name="_Hlk129091922"/>
    <w:bookmarkStart w:id="47" w:name="_Hlk129091923"/>
    <w:bookmarkStart w:id="48" w:name="_Hlk129091926"/>
    <w:bookmarkStart w:id="49" w:name="_Hlk129091927"/>
    <w:bookmarkStart w:id="50" w:name="_Hlk129092049"/>
    <w:bookmarkStart w:id="51" w:name="_Hlk129092050"/>
    <w:r w:rsidRPr="008A5CB5">
      <w:rPr>
        <w:noProof/>
      </w:rPr>
      <w:drawing>
        <wp:inline distT="0" distB="0" distL="0" distR="0" wp14:anchorId="56BF2400" wp14:editId="6FF8564F">
          <wp:extent cx="2345055" cy="457200"/>
          <wp:effectExtent l="0" t="0" r="0" b="0"/>
          <wp:docPr id="951335612"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1CAA8EC" wp14:editId="257761F1">
          <wp:extent cx="1943100" cy="495300"/>
          <wp:effectExtent l="0" t="0" r="0" b="0"/>
          <wp:docPr id="21414959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98AA4A6" w14:textId="77777777" w:rsidR="00986996" w:rsidRDefault="00812D3D" w:rsidP="00986996">
    <w:pPr>
      <w:pStyle w:val="Header"/>
    </w:pPr>
    <w:r>
      <w:rPr>
        <w:noProof/>
      </w:rPr>
      <w:pict w14:anchorId="6C61DD87">
        <v:rect id="_x0000_i1026" alt="" style="width:441.9pt;height:.05pt;mso-width-percent:0;mso-height-percent:0;mso-width-percent:0;mso-height-percent:0" o:hralign="center" o:hrstd="t" o:hr="t" fillcolor="#a0a0a0" stroked="f"/>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FFC428A" w14:textId="77777777" w:rsidR="00986996" w:rsidRDefault="0098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898"/>
    <w:multiLevelType w:val="hybridMultilevel"/>
    <w:tmpl w:val="0AEC5954"/>
    <w:lvl w:ilvl="0" w:tplc="881C1B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3F0B"/>
    <w:multiLevelType w:val="hybridMultilevel"/>
    <w:tmpl w:val="38DE0034"/>
    <w:lvl w:ilvl="0" w:tplc="0EEE235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6"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7753E"/>
    <w:multiLevelType w:val="hybridMultilevel"/>
    <w:tmpl w:val="092094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1"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3CDF7F5E"/>
    <w:multiLevelType w:val="hybridMultilevel"/>
    <w:tmpl w:val="E21CF30C"/>
    <w:lvl w:ilvl="0" w:tplc="C80E52C4">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903577"/>
    <w:multiLevelType w:val="hybridMultilevel"/>
    <w:tmpl w:val="95EE4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3"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6"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50951C10"/>
    <w:multiLevelType w:val="hybridMultilevel"/>
    <w:tmpl w:val="D0969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1"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2"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7"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42"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41"/>
  </w:num>
  <w:num w:numId="2" w16cid:durableId="1198784672">
    <w:abstractNumId w:val="5"/>
  </w:num>
  <w:num w:numId="3" w16cid:durableId="946815819">
    <w:abstractNumId w:val="40"/>
  </w:num>
  <w:num w:numId="4" w16cid:durableId="1735083488">
    <w:abstractNumId w:val="24"/>
  </w:num>
  <w:num w:numId="5" w16cid:durableId="1809080309">
    <w:abstractNumId w:val="21"/>
  </w:num>
  <w:num w:numId="6" w16cid:durableId="2000111282">
    <w:abstractNumId w:val="43"/>
  </w:num>
  <w:num w:numId="7" w16cid:durableId="1182233948">
    <w:abstractNumId w:val="11"/>
  </w:num>
  <w:num w:numId="8" w16cid:durableId="653609088">
    <w:abstractNumId w:val="36"/>
  </w:num>
  <w:num w:numId="9" w16cid:durableId="263657786">
    <w:abstractNumId w:val="13"/>
  </w:num>
  <w:num w:numId="10" w16cid:durableId="1629429028">
    <w:abstractNumId w:val="4"/>
  </w:num>
  <w:num w:numId="11" w16cid:durableId="1415277257">
    <w:abstractNumId w:val="10"/>
  </w:num>
  <w:num w:numId="12" w16cid:durableId="98719486">
    <w:abstractNumId w:val="12"/>
  </w:num>
  <w:num w:numId="13" w16cid:durableId="643854056">
    <w:abstractNumId w:val="34"/>
  </w:num>
  <w:num w:numId="14" w16cid:durableId="1517694182">
    <w:abstractNumId w:val="15"/>
  </w:num>
  <w:num w:numId="15" w16cid:durableId="815797891">
    <w:abstractNumId w:val="39"/>
  </w:num>
  <w:num w:numId="16" w16cid:durableId="251282083">
    <w:abstractNumId w:val="8"/>
  </w:num>
  <w:num w:numId="17" w16cid:durableId="1185630687">
    <w:abstractNumId w:val="25"/>
  </w:num>
  <w:num w:numId="18" w16cid:durableId="938754063">
    <w:abstractNumId w:val="32"/>
  </w:num>
  <w:num w:numId="19" w16cid:durableId="287009962">
    <w:abstractNumId w:val="28"/>
  </w:num>
  <w:num w:numId="20" w16cid:durableId="1427114931">
    <w:abstractNumId w:val="0"/>
  </w:num>
  <w:num w:numId="21" w16cid:durableId="1996837994">
    <w:abstractNumId w:val="19"/>
  </w:num>
  <w:num w:numId="22" w16cid:durableId="1249198344">
    <w:abstractNumId w:val="1"/>
  </w:num>
  <w:num w:numId="23" w16cid:durableId="1945647392">
    <w:abstractNumId w:val="30"/>
  </w:num>
  <w:num w:numId="24" w16cid:durableId="537162661">
    <w:abstractNumId w:val="33"/>
  </w:num>
  <w:num w:numId="25" w16cid:durableId="1989938239">
    <w:abstractNumId w:val="22"/>
  </w:num>
  <w:num w:numId="26" w16cid:durableId="1967273059">
    <w:abstractNumId w:val="37"/>
  </w:num>
  <w:num w:numId="27" w16cid:durableId="1065761970">
    <w:abstractNumId w:val="16"/>
  </w:num>
  <w:num w:numId="28" w16cid:durableId="45295993">
    <w:abstractNumId w:val="6"/>
  </w:num>
  <w:num w:numId="29" w16cid:durableId="698167985">
    <w:abstractNumId w:val="26"/>
  </w:num>
  <w:num w:numId="30" w16cid:durableId="1709643113">
    <w:abstractNumId w:val="38"/>
  </w:num>
  <w:num w:numId="31" w16cid:durableId="934480746">
    <w:abstractNumId w:val="35"/>
  </w:num>
  <w:num w:numId="32" w16cid:durableId="541211672">
    <w:abstractNumId w:val="14"/>
  </w:num>
  <w:num w:numId="33" w16cid:durableId="1345130465">
    <w:abstractNumId w:val="31"/>
  </w:num>
  <w:num w:numId="34" w16cid:durableId="1757743752">
    <w:abstractNumId w:val="29"/>
  </w:num>
  <w:num w:numId="35" w16cid:durableId="83184206">
    <w:abstractNumId w:val="7"/>
  </w:num>
  <w:num w:numId="36" w16cid:durableId="1037505896">
    <w:abstractNumId w:val="42"/>
  </w:num>
  <w:num w:numId="37" w16cid:durableId="1162084678">
    <w:abstractNumId w:val="17"/>
  </w:num>
  <w:num w:numId="38" w16cid:durableId="247926190">
    <w:abstractNumId w:val="23"/>
  </w:num>
  <w:num w:numId="39" w16cid:durableId="445580875">
    <w:abstractNumId w:val="3"/>
  </w:num>
  <w:num w:numId="40" w16cid:durableId="141699055">
    <w:abstractNumId w:val="20"/>
  </w:num>
  <w:num w:numId="41" w16cid:durableId="520552984">
    <w:abstractNumId w:val="2"/>
  </w:num>
  <w:num w:numId="42" w16cid:durableId="751006063">
    <w:abstractNumId w:val="18"/>
  </w:num>
  <w:num w:numId="43" w16cid:durableId="1115254528">
    <w:abstractNumId w:val="27"/>
  </w:num>
  <w:num w:numId="44" w16cid:durableId="1087118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80F92"/>
    <w:rsid w:val="00082741"/>
    <w:rsid w:val="000840A1"/>
    <w:rsid w:val="0009182C"/>
    <w:rsid w:val="000974AD"/>
    <w:rsid w:val="000A0354"/>
    <w:rsid w:val="000A1EFD"/>
    <w:rsid w:val="000B7CE6"/>
    <w:rsid w:val="000D5267"/>
    <w:rsid w:val="000F4520"/>
    <w:rsid w:val="000F6AC8"/>
    <w:rsid w:val="00106C59"/>
    <w:rsid w:val="00121A07"/>
    <w:rsid w:val="00132D55"/>
    <w:rsid w:val="00134455"/>
    <w:rsid w:val="00162E82"/>
    <w:rsid w:val="00163E52"/>
    <w:rsid w:val="00165C18"/>
    <w:rsid w:val="0016622B"/>
    <w:rsid w:val="00183508"/>
    <w:rsid w:val="001873B5"/>
    <w:rsid w:val="001B1DFD"/>
    <w:rsid w:val="001C0A6D"/>
    <w:rsid w:val="001C230A"/>
    <w:rsid w:val="001C3868"/>
    <w:rsid w:val="001E0DD0"/>
    <w:rsid w:val="001F2517"/>
    <w:rsid w:val="001F495A"/>
    <w:rsid w:val="00212F55"/>
    <w:rsid w:val="0021669C"/>
    <w:rsid w:val="00217A39"/>
    <w:rsid w:val="00217F58"/>
    <w:rsid w:val="00231B7D"/>
    <w:rsid w:val="00237569"/>
    <w:rsid w:val="00247C16"/>
    <w:rsid w:val="00250058"/>
    <w:rsid w:val="00254A60"/>
    <w:rsid w:val="00260DDA"/>
    <w:rsid w:val="00266F49"/>
    <w:rsid w:val="00276284"/>
    <w:rsid w:val="00280C07"/>
    <w:rsid w:val="00292591"/>
    <w:rsid w:val="002A1ED6"/>
    <w:rsid w:val="002A39B2"/>
    <w:rsid w:val="002B0B2A"/>
    <w:rsid w:val="002B46E1"/>
    <w:rsid w:val="002C446E"/>
    <w:rsid w:val="002D3FBD"/>
    <w:rsid w:val="002E03E0"/>
    <w:rsid w:val="00301A2A"/>
    <w:rsid w:val="00324282"/>
    <w:rsid w:val="00360412"/>
    <w:rsid w:val="00370712"/>
    <w:rsid w:val="00376A6A"/>
    <w:rsid w:val="00393310"/>
    <w:rsid w:val="003A08C7"/>
    <w:rsid w:val="003A30C8"/>
    <w:rsid w:val="003B3362"/>
    <w:rsid w:val="003B479F"/>
    <w:rsid w:val="003D4630"/>
    <w:rsid w:val="003E3690"/>
    <w:rsid w:val="00412204"/>
    <w:rsid w:val="0041423F"/>
    <w:rsid w:val="00425C1D"/>
    <w:rsid w:val="00433F54"/>
    <w:rsid w:val="004506DA"/>
    <w:rsid w:val="0047175E"/>
    <w:rsid w:val="00477809"/>
    <w:rsid w:val="004779B9"/>
    <w:rsid w:val="00483B3C"/>
    <w:rsid w:val="00483CF7"/>
    <w:rsid w:val="00497B73"/>
    <w:rsid w:val="004A15BA"/>
    <w:rsid w:val="004A2550"/>
    <w:rsid w:val="004B6622"/>
    <w:rsid w:val="004C0674"/>
    <w:rsid w:val="004C4D9C"/>
    <w:rsid w:val="004D7999"/>
    <w:rsid w:val="004F3537"/>
    <w:rsid w:val="004F3B49"/>
    <w:rsid w:val="005110B8"/>
    <w:rsid w:val="00515370"/>
    <w:rsid w:val="00525898"/>
    <w:rsid w:val="00545027"/>
    <w:rsid w:val="0055600F"/>
    <w:rsid w:val="00556DB5"/>
    <w:rsid w:val="00565615"/>
    <w:rsid w:val="005664CA"/>
    <w:rsid w:val="00580916"/>
    <w:rsid w:val="0058266E"/>
    <w:rsid w:val="0058688A"/>
    <w:rsid w:val="00590BCD"/>
    <w:rsid w:val="00593BAE"/>
    <w:rsid w:val="005A1DFD"/>
    <w:rsid w:val="005A32E4"/>
    <w:rsid w:val="005A5292"/>
    <w:rsid w:val="005A732D"/>
    <w:rsid w:val="005B23B6"/>
    <w:rsid w:val="005C555E"/>
    <w:rsid w:val="005C5563"/>
    <w:rsid w:val="005E11CE"/>
    <w:rsid w:val="005E7D95"/>
    <w:rsid w:val="005F4AAA"/>
    <w:rsid w:val="00604132"/>
    <w:rsid w:val="0060428A"/>
    <w:rsid w:val="00604F1C"/>
    <w:rsid w:val="00617ED5"/>
    <w:rsid w:val="00622A27"/>
    <w:rsid w:val="006409F9"/>
    <w:rsid w:val="0064287C"/>
    <w:rsid w:val="006440B6"/>
    <w:rsid w:val="00650F99"/>
    <w:rsid w:val="0066572E"/>
    <w:rsid w:val="006753A9"/>
    <w:rsid w:val="00683740"/>
    <w:rsid w:val="006964C0"/>
    <w:rsid w:val="006A40D0"/>
    <w:rsid w:val="006A592E"/>
    <w:rsid w:val="006A6CAF"/>
    <w:rsid w:val="006A6F49"/>
    <w:rsid w:val="006A7144"/>
    <w:rsid w:val="006B4CEC"/>
    <w:rsid w:val="006C60F3"/>
    <w:rsid w:val="006C784B"/>
    <w:rsid w:val="006F0429"/>
    <w:rsid w:val="006F4B6C"/>
    <w:rsid w:val="006F6BBC"/>
    <w:rsid w:val="0070714C"/>
    <w:rsid w:val="00745807"/>
    <w:rsid w:val="00747464"/>
    <w:rsid w:val="00754FFE"/>
    <w:rsid w:val="00761F04"/>
    <w:rsid w:val="0076772B"/>
    <w:rsid w:val="007779B2"/>
    <w:rsid w:val="0078116D"/>
    <w:rsid w:val="00786A91"/>
    <w:rsid w:val="007A6889"/>
    <w:rsid w:val="007B5306"/>
    <w:rsid w:val="007C2CC3"/>
    <w:rsid w:val="007C351D"/>
    <w:rsid w:val="007D28C6"/>
    <w:rsid w:val="007D543E"/>
    <w:rsid w:val="007E0808"/>
    <w:rsid w:val="007E3059"/>
    <w:rsid w:val="007E4ED5"/>
    <w:rsid w:val="007E7421"/>
    <w:rsid w:val="007F5A92"/>
    <w:rsid w:val="007F5F4E"/>
    <w:rsid w:val="007F7616"/>
    <w:rsid w:val="0080116E"/>
    <w:rsid w:val="008012A4"/>
    <w:rsid w:val="008060DE"/>
    <w:rsid w:val="00807BAA"/>
    <w:rsid w:val="00812D3D"/>
    <w:rsid w:val="00814672"/>
    <w:rsid w:val="00814DCE"/>
    <w:rsid w:val="00821BD0"/>
    <w:rsid w:val="00824097"/>
    <w:rsid w:val="00824181"/>
    <w:rsid w:val="0083144B"/>
    <w:rsid w:val="00853611"/>
    <w:rsid w:val="0085420D"/>
    <w:rsid w:val="008550EF"/>
    <w:rsid w:val="008617A6"/>
    <w:rsid w:val="00863A25"/>
    <w:rsid w:val="008641C8"/>
    <w:rsid w:val="008776EB"/>
    <w:rsid w:val="0089637D"/>
    <w:rsid w:val="00897783"/>
    <w:rsid w:val="008B0045"/>
    <w:rsid w:val="008B0889"/>
    <w:rsid w:val="008B67EB"/>
    <w:rsid w:val="008E0DEF"/>
    <w:rsid w:val="008E3636"/>
    <w:rsid w:val="00907397"/>
    <w:rsid w:val="00913BF3"/>
    <w:rsid w:val="00917950"/>
    <w:rsid w:val="00921645"/>
    <w:rsid w:val="00931D14"/>
    <w:rsid w:val="009331A5"/>
    <w:rsid w:val="00933A89"/>
    <w:rsid w:val="00944F57"/>
    <w:rsid w:val="009477D5"/>
    <w:rsid w:val="00977EF7"/>
    <w:rsid w:val="00986996"/>
    <w:rsid w:val="0099077E"/>
    <w:rsid w:val="009A00A8"/>
    <w:rsid w:val="009A542A"/>
    <w:rsid w:val="009B480D"/>
    <w:rsid w:val="009C4D87"/>
    <w:rsid w:val="009C56C0"/>
    <w:rsid w:val="009D20DE"/>
    <w:rsid w:val="009F0FEB"/>
    <w:rsid w:val="009F1C70"/>
    <w:rsid w:val="009F77BA"/>
    <w:rsid w:val="00A13D4B"/>
    <w:rsid w:val="00A179F1"/>
    <w:rsid w:val="00A25CA7"/>
    <w:rsid w:val="00A3232A"/>
    <w:rsid w:val="00A343FF"/>
    <w:rsid w:val="00A366BE"/>
    <w:rsid w:val="00A466C8"/>
    <w:rsid w:val="00A47FF7"/>
    <w:rsid w:val="00A5412E"/>
    <w:rsid w:val="00A56234"/>
    <w:rsid w:val="00A72869"/>
    <w:rsid w:val="00A74A1D"/>
    <w:rsid w:val="00A76D93"/>
    <w:rsid w:val="00A942E0"/>
    <w:rsid w:val="00AA0407"/>
    <w:rsid w:val="00AA4E4E"/>
    <w:rsid w:val="00AC2BAD"/>
    <w:rsid w:val="00AE1768"/>
    <w:rsid w:val="00AE1B0F"/>
    <w:rsid w:val="00AE2597"/>
    <w:rsid w:val="00AF0CEC"/>
    <w:rsid w:val="00AF37E4"/>
    <w:rsid w:val="00B02BDD"/>
    <w:rsid w:val="00B033A1"/>
    <w:rsid w:val="00B056D9"/>
    <w:rsid w:val="00B17D1F"/>
    <w:rsid w:val="00B2161A"/>
    <w:rsid w:val="00B6696C"/>
    <w:rsid w:val="00B75824"/>
    <w:rsid w:val="00B806AC"/>
    <w:rsid w:val="00B90B9D"/>
    <w:rsid w:val="00B91191"/>
    <w:rsid w:val="00B91D8E"/>
    <w:rsid w:val="00B93993"/>
    <w:rsid w:val="00BA675E"/>
    <w:rsid w:val="00BB5902"/>
    <w:rsid w:val="00BC19D9"/>
    <w:rsid w:val="00BC42A3"/>
    <w:rsid w:val="00BD37BE"/>
    <w:rsid w:val="00BD6A10"/>
    <w:rsid w:val="00BF33B2"/>
    <w:rsid w:val="00BF7310"/>
    <w:rsid w:val="00C04C07"/>
    <w:rsid w:val="00C1382E"/>
    <w:rsid w:val="00C40F2C"/>
    <w:rsid w:val="00C6690B"/>
    <w:rsid w:val="00C97568"/>
    <w:rsid w:val="00CA2777"/>
    <w:rsid w:val="00CA3AA8"/>
    <w:rsid w:val="00CB0CA0"/>
    <w:rsid w:val="00CC4274"/>
    <w:rsid w:val="00CC5359"/>
    <w:rsid w:val="00CD3889"/>
    <w:rsid w:val="00CE2C06"/>
    <w:rsid w:val="00CF64FA"/>
    <w:rsid w:val="00D05BCC"/>
    <w:rsid w:val="00D13990"/>
    <w:rsid w:val="00D143E4"/>
    <w:rsid w:val="00D1540B"/>
    <w:rsid w:val="00D222B7"/>
    <w:rsid w:val="00D22BA6"/>
    <w:rsid w:val="00D5166A"/>
    <w:rsid w:val="00D56F83"/>
    <w:rsid w:val="00D63E99"/>
    <w:rsid w:val="00D66F6E"/>
    <w:rsid w:val="00D809FF"/>
    <w:rsid w:val="00D82E91"/>
    <w:rsid w:val="00DB1E4A"/>
    <w:rsid w:val="00DB2CDF"/>
    <w:rsid w:val="00DB36E1"/>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6BF2"/>
    <w:rsid w:val="00E62255"/>
    <w:rsid w:val="00E66C1B"/>
    <w:rsid w:val="00E72BD0"/>
    <w:rsid w:val="00E77756"/>
    <w:rsid w:val="00E82BFD"/>
    <w:rsid w:val="00E95365"/>
    <w:rsid w:val="00EB1162"/>
    <w:rsid w:val="00EB3ACF"/>
    <w:rsid w:val="00EC03C5"/>
    <w:rsid w:val="00EC64BF"/>
    <w:rsid w:val="00ED4C58"/>
    <w:rsid w:val="00ED518E"/>
    <w:rsid w:val="00EE6A75"/>
    <w:rsid w:val="00EF1B6E"/>
    <w:rsid w:val="00EF1BD7"/>
    <w:rsid w:val="00F0294F"/>
    <w:rsid w:val="00F06E69"/>
    <w:rsid w:val="00F07B09"/>
    <w:rsid w:val="00F52F31"/>
    <w:rsid w:val="00F54F60"/>
    <w:rsid w:val="00F62F2B"/>
    <w:rsid w:val="00F659FE"/>
    <w:rsid w:val="00F66FEE"/>
    <w:rsid w:val="00F72E41"/>
    <w:rsid w:val="00F80812"/>
    <w:rsid w:val="00F8544E"/>
    <w:rsid w:val="00FA0536"/>
    <w:rsid w:val="00FC0266"/>
    <w:rsid w:val="00FC66C2"/>
    <w:rsid w:val="00FD09E6"/>
    <w:rsid w:val="00FD7ED8"/>
    <w:rsid w:val="00FE15A7"/>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styleId="CommentReference">
    <w:name w:val="annotation reference"/>
    <w:basedOn w:val="DefaultParagraphFont"/>
    <w:uiPriority w:val="99"/>
    <w:semiHidden/>
    <w:unhideWhenUsed/>
    <w:rsid w:val="00BD6A10"/>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customStyle="1" w:styleId="Cuadrculamedia21">
    <w:name w:val="Cuadrícula media 21"/>
    <w:uiPriority w:val="1"/>
    <w:qFormat/>
    <w:rsid w:val="00907397"/>
    <w:rPr>
      <w:sz w:val="22"/>
      <w:szCs w:val="22"/>
      <w:lang w:val="pt-BR" w:eastAsia="en-US"/>
    </w:rPr>
  </w:style>
  <w:style w:type="paragraph" w:styleId="CommentSubject">
    <w:name w:val="annotation subject"/>
    <w:basedOn w:val="CommentText"/>
    <w:next w:val="CommentText"/>
    <w:link w:val="CommentSubjectChar"/>
    <w:uiPriority w:val="99"/>
    <w:semiHidden/>
    <w:unhideWhenUsed/>
    <w:rsid w:val="00556DB5"/>
    <w:rPr>
      <w:b/>
      <w:bCs/>
    </w:rPr>
  </w:style>
  <w:style w:type="character" w:customStyle="1" w:styleId="CommentSubjectChar">
    <w:name w:val="Comment Subject Char"/>
    <w:basedOn w:val="CommentTextChar"/>
    <w:link w:val="CommentSubject"/>
    <w:uiPriority w:val="99"/>
    <w:semiHidden/>
    <w:rsid w:val="00556DB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0583">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s/cidh/decisiones/2018/PYSA12699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s.org/es/cidh/decisiones/2018/PYSA12699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dh.oas.org/annualrep/2009sp/Paraguay788-05.sp.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ocs/anual/2023/capitulos/IA2023_Cap_2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2024-05-02T14:08:00Z</dcterms:created>
  <dcterms:modified xsi:type="dcterms:W3CDTF">2024-05-02T14:08:00Z</dcterms:modified>
</cp:coreProperties>
</file>